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4D8B5192"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w:t>
      </w:r>
      <w:r w:rsidR="0098773D">
        <w:rPr>
          <w:rFonts w:cs="Calibri"/>
          <w:b/>
          <w:sz w:val="28"/>
          <w:szCs w:val="20"/>
        </w:rPr>
        <w:t>20180</w:t>
      </w:r>
      <w:r w:rsidR="0030639A">
        <w:rPr>
          <w:rFonts w:cs="Calibri"/>
          <w:b/>
          <w:sz w:val="28"/>
          <w:szCs w:val="20"/>
        </w:rPr>
        <w:t>9</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074611D9"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98773D">
        <w:rPr>
          <w:rFonts w:cs="Calibri"/>
          <w:b/>
          <w:bCs/>
          <w:szCs w:val="20"/>
        </w:rPr>
        <w:t xml:space="preserve"> </w:t>
      </w:r>
      <w:r w:rsidR="00AD1719" w:rsidRPr="00AD1719">
        <w:rPr>
          <w:rFonts w:cs="Calibri"/>
          <w:b/>
          <w:bCs/>
          <w:szCs w:val="20"/>
        </w:rPr>
        <w:t>v.</w:t>
      </w:r>
      <w:r w:rsidR="0098773D">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472B5539"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r w:rsidR="00787D75" w:rsidRPr="00A33369">
        <w:rPr>
          <w:rFonts w:cs="Calibri"/>
          <w:bCs/>
          <w:szCs w:val="20"/>
        </w:rPr>
        <w:tab/>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1C1E42BD" w:rsidR="00F81645" w:rsidRDefault="00D52336" w:rsidP="00570093">
      <w:pPr>
        <w:jc w:val="both"/>
        <w:rPr>
          <w:rFonts w:asciiTheme="minorHAnsi" w:hAnsiTheme="minorHAnsi" w:cstheme="minorHAnsi"/>
          <w:bCs/>
          <w:sz w:val="20"/>
        </w:rPr>
      </w:pPr>
      <w:r w:rsidRPr="00CC6A5E">
        <w:rPr>
          <w:rFonts w:cs="Calibri"/>
          <w:sz w:val="20"/>
          <w:szCs w:val="20"/>
        </w:rPr>
        <w:t xml:space="preserve">uzavírají na základě výsledku </w:t>
      </w:r>
      <w:r w:rsidR="0098773D">
        <w:rPr>
          <w:rFonts w:cs="Calibri"/>
          <w:sz w:val="20"/>
          <w:szCs w:val="20"/>
        </w:rPr>
        <w:t xml:space="preserve">zakázky malého rozsahu </w:t>
      </w:r>
      <w:r w:rsidRPr="00CC6A5E">
        <w:rPr>
          <w:rFonts w:cs="Calibri"/>
          <w:sz w:val="20"/>
          <w:szCs w:val="20"/>
        </w:rPr>
        <w:t xml:space="preserve">s názvem </w:t>
      </w:r>
      <w:r w:rsidRPr="00CC6A5E">
        <w:rPr>
          <w:rFonts w:cs="Calibri"/>
          <w:caps/>
          <w:sz w:val="20"/>
          <w:szCs w:val="20"/>
        </w:rPr>
        <w:t>„</w:t>
      </w:r>
      <w:r w:rsidR="0098773D" w:rsidRPr="0066679B">
        <w:rPr>
          <w:rFonts w:asciiTheme="minorHAnsi" w:hAnsiTheme="minorHAnsi"/>
          <w:sz w:val="22"/>
        </w:rPr>
        <w:t xml:space="preserve">Dodávka </w:t>
      </w:r>
      <w:r w:rsidR="00145347">
        <w:rPr>
          <w:rFonts w:asciiTheme="minorHAnsi" w:hAnsiTheme="minorHAnsi"/>
          <w:sz w:val="22"/>
        </w:rPr>
        <w:t>aparatury</w:t>
      </w:r>
      <w:r w:rsidR="00DF7059">
        <w:rPr>
          <w:rFonts w:asciiTheme="minorHAnsi" w:hAnsiTheme="minorHAnsi"/>
          <w:sz w:val="22"/>
        </w:rPr>
        <w:t xml:space="preserve"> pro měření teploty systémem DTS</w:t>
      </w:r>
      <w:r w:rsidR="0006548E" w:rsidRPr="00CC6A5E">
        <w:rPr>
          <w:rFonts w:cs="Calibri"/>
          <w:sz w:val="20"/>
          <w:szCs w:val="20"/>
        </w:rPr>
        <w:t>“</w:t>
      </w:r>
      <w:r w:rsidR="0006548E">
        <w:rPr>
          <w:rFonts w:cs="Calibri"/>
          <w:sz w:val="20"/>
          <w:szCs w:val="20"/>
        </w:rPr>
        <w:t xml:space="preserve">, </w:t>
      </w:r>
    </w:p>
    <w:p w14:paraId="0D2DBA77" w14:textId="3C80F556" w:rsidR="00D52336" w:rsidRPr="00CC6A5E" w:rsidRDefault="00570093" w:rsidP="0098773D">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bookmarkStart w:id="0" w:name="_GoBack"/>
      <w:bookmarkEnd w:id="0"/>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744F8813" w:rsidR="009E43ED" w:rsidRPr="0006548E" w:rsidRDefault="00BD2D33" w:rsidP="001A4BA5">
      <w:pPr>
        <w:pStyle w:val="PODKAPITOLA"/>
        <w:jc w:val="both"/>
        <w:rPr>
          <w:rFonts w:asciiTheme="minorHAnsi" w:eastAsia="Calibri" w:hAnsiTheme="minorHAnsi" w:cstheme="minorHAnsi"/>
          <w:b w:val="0"/>
          <w:bCs w:val="0"/>
          <w:i/>
          <w:color w:val="auto"/>
          <w:shd w:val="clear" w:color="auto" w:fill="auto"/>
        </w:rPr>
      </w:pPr>
      <w:r w:rsidRPr="001A4BA5">
        <w:rPr>
          <w:rFonts w:asciiTheme="minorHAnsi" w:eastAsia="Calibri" w:hAnsiTheme="minorHAnsi" w:cstheme="minorHAnsi"/>
          <w:bCs w:val="0"/>
          <w:color w:val="auto"/>
          <w:shd w:val="clear" w:color="auto" w:fill="auto"/>
        </w:rPr>
        <w:t>2.1</w:t>
      </w:r>
      <w:r>
        <w:rPr>
          <w:rFonts w:asciiTheme="minorHAnsi" w:eastAsia="Calibri" w:hAnsiTheme="minorHAnsi" w:cstheme="minorHAnsi"/>
          <w:b w:val="0"/>
          <w:bCs w:val="0"/>
          <w:color w:val="auto"/>
          <w:shd w:val="clear" w:color="auto" w:fill="auto"/>
        </w:rPr>
        <w:t xml:space="preserve"> </w:t>
      </w:r>
      <w:r>
        <w:rPr>
          <w:rFonts w:asciiTheme="minorHAnsi" w:eastAsia="Calibri" w:hAnsiTheme="minorHAnsi" w:cstheme="minorHAnsi"/>
          <w:b w:val="0"/>
          <w:bCs w:val="0"/>
          <w:color w:val="auto"/>
          <w:shd w:val="clear" w:color="auto" w:fill="auto"/>
        </w:rPr>
        <w:tab/>
      </w:r>
      <w:r w:rsidR="0098773D" w:rsidRPr="001E4F58">
        <w:rPr>
          <w:rFonts w:asciiTheme="minorHAnsi" w:eastAsia="Calibri" w:hAnsiTheme="minorHAnsi" w:cstheme="minorHAnsi"/>
          <w:b w:val="0"/>
        </w:rPr>
        <w:t xml:space="preserve">Předmětem veřejné zakázky </w:t>
      </w:r>
      <w:r w:rsidR="0098773D" w:rsidRPr="00DF7059">
        <w:rPr>
          <w:rFonts w:asciiTheme="minorHAnsi" w:eastAsia="Calibri" w:hAnsiTheme="minorHAnsi" w:cstheme="minorHAnsi"/>
          <w:b w:val="0"/>
        </w:rPr>
        <w:t xml:space="preserve">je </w:t>
      </w:r>
      <w:r w:rsidR="00DF7059" w:rsidRPr="001A4BA5">
        <w:rPr>
          <w:rFonts w:asciiTheme="minorHAnsi" w:hAnsiTheme="minorHAnsi"/>
          <w:b w:val="0"/>
          <w:sz w:val="22"/>
        </w:rPr>
        <w:t xml:space="preserve">Dodávka </w:t>
      </w:r>
      <w:r w:rsidR="00ED7638">
        <w:rPr>
          <w:rFonts w:asciiTheme="minorHAnsi" w:hAnsiTheme="minorHAnsi"/>
          <w:b w:val="0"/>
          <w:sz w:val="22"/>
        </w:rPr>
        <w:t>aparatury</w:t>
      </w:r>
      <w:r w:rsidR="00DF7059" w:rsidRPr="001A4BA5">
        <w:rPr>
          <w:rFonts w:asciiTheme="minorHAnsi" w:hAnsiTheme="minorHAnsi"/>
          <w:b w:val="0"/>
          <w:sz w:val="22"/>
        </w:rPr>
        <w:t xml:space="preserve"> pro měření teploty systémem DTS</w:t>
      </w:r>
      <w:r w:rsidR="0098773D">
        <w:rPr>
          <w:rFonts w:asciiTheme="minorHAnsi" w:eastAsia="Calibri" w:hAnsiTheme="minorHAnsi" w:cstheme="minorHAnsi"/>
          <w:b w:val="0"/>
        </w:rPr>
        <w:t>.</w:t>
      </w:r>
    </w:p>
    <w:p w14:paraId="44B554F9" w14:textId="6B72CB11"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42C1E924"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0F9023C" w14:textId="3913CE71" w:rsidR="00570093" w:rsidRPr="00570093" w:rsidRDefault="00A84FC8" w:rsidP="00A84FC8">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w:t>
      </w:r>
      <w:r w:rsidR="00C00DBB">
        <w:rPr>
          <w:rFonts w:asciiTheme="minorHAnsi" w:hAnsiTheme="minorHAnsi" w:cstheme="minorHAnsi"/>
          <w:sz w:val="20"/>
          <w:szCs w:val="20"/>
        </w:rPr>
        <w:t>veřejné zakázky</w:t>
      </w:r>
      <w:r w:rsidR="00570093">
        <w:rPr>
          <w:rFonts w:asciiTheme="minorHAnsi" w:hAnsiTheme="minorHAnsi" w:cstheme="minorHAnsi"/>
          <w:sz w:val="20"/>
          <w:szCs w:val="20"/>
        </w:rPr>
        <w:t>:</w:t>
      </w:r>
    </w:p>
    <w:p w14:paraId="01781CBB" w14:textId="04789DD8" w:rsidR="00570093" w:rsidRPr="00570093"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zahájení:  </w:t>
      </w:r>
      <w:r w:rsidR="00BB0C40">
        <w:rPr>
          <w:rFonts w:asciiTheme="minorHAnsi" w:hAnsiTheme="minorHAnsi" w:cstheme="minorHAnsi"/>
          <w:sz w:val="20"/>
          <w:szCs w:val="20"/>
        </w:rPr>
        <w:t xml:space="preserve">dnem podpisu </w:t>
      </w:r>
      <w:r w:rsidR="00842498">
        <w:rPr>
          <w:rFonts w:asciiTheme="minorHAnsi" w:hAnsiTheme="minorHAnsi" w:cstheme="minorHAnsi"/>
          <w:sz w:val="20"/>
          <w:szCs w:val="20"/>
        </w:rPr>
        <w:t>kupní smlouvy</w:t>
      </w:r>
    </w:p>
    <w:p w14:paraId="0C4C0C9E" w14:textId="2CBCC855" w:rsidR="00A84FC8"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ukončení:  </w:t>
      </w:r>
      <w:r w:rsidR="00C00DBB">
        <w:rPr>
          <w:rFonts w:asciiTheme="minorHAnsi" w:hAnsiTheme="minorHAnsi" w:cstheme="minorHAnsi"/>
          <w:sz w:val="20"/>
          <w:szCs w:val="20"/>
        </w:rPr>
        <w:t xml:space="preserve">do </w:t>
      </w:r>
      <w:r w:rsidR="00CC76EA">
        <w:rPr>
          <w:rFonts w:asciiTheme="minorHAnsi" w:hAnsiTheme="minorHAnsi" w:cstheme="minorHAnsi"/>
          <w:sz w:val="20"/>
          <w:szCs w:val="20"/>
        </w:rPr>
        <w:t xml:space="preserve">10týdnů </w:t>
      </w:r>
      <w:r w:rsidR="00C00DBB">
        <w:rPr>
          <w:rFonts w:asciiTheme="minorHAnsi" w:hAnsiTheme="minorHAnsi" w:cstheme="minorHAnsi"/>
          <w:sz w:val="20"/>
          <w:szCs w:val="20"/>
        </w:rPr>
        <w:t>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4086E950"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Místo plnění veřejné zakázky je sídlo 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7F478310"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 xml:space="preserve">Kupní cena zahrnuje zejména dopravu, </w:t>
      </w:r>
      <w:r>
        <w:rPr>
          <w:rFonts w:cs="Calibri"/>
          <w:sz w:val="20"/>
          <w:szCs w:val="20"/>
        </w:rPr>
        <w:t>provedení funkční zkoušky</w:t>
      </w:r>
      <w:r w:rsidRPr="00CC6A5E">
        <w:rPr>
          <w:rFonts w:cs="Calibri"/>
          <w:sz w:val="20"/>
          <w:szCs w:val="20"/>
        </w:rPr>
        <w:t xml:space="preserve"> a nezbytné zaškolení příslušných zaměstnanců kupujícího. Kupní cena zahrnuje i náklady na správní poplatky, daně, cla,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338E24A1"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Kupní cena </w:t>
      </w:r>
      <w:r w:rsidR="00BD2D33">
        <w:rPr>
          <w:rFonts w:cs="Calibri"/>
          <w:sz w:val="20"/>
          <w:szCs w:val="20"/>
        </w:rPr>
        <w:t xml:space="preserve">zboží </w:t>
      </w:r>
      <w:r>
        <w:rPr>
          <w:rFonts w:cs="Calibri"/>
          <w:sz w:val="20"/>
          <w:szCs w:val="20"/>
        </w:rPr>
        <w:t xml:space="preserve">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6F8E4FE2" w:rsidR="00DA4977" w:rsidRPr="00DA4977" w:rsidRDefault="00DA4977" w:rsidP="001A4BA5">
      <w:pPr>
        <w:numPr>
          <w:ilvl w:val="2"/>
          <w:numId w:val="9"/>
        </w:numPr>
        <w:spacing w:after="60" w:line="276" w:lineRule="auto"/>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FE38F5">
        <w:rPr>
          <w:rFonts w:cs="Calibri"/>
          <w:sz w:val="20"/>
          <w:szCs w:val="20"/>
        </w:rPr>
        <w:t xml:space="preserve"> </w:t>
      </w:r>
      <w:r w:rsidR="0098773D" w:rsidRPr="0098773D">
        <w:rPr>
          <w:rFonts w:cs="Calibri"/>
          <w:sz w:val="20"/>
          <w:szCs w:val="20"/>
        </w:rPr>
        <w:t>CZ.02.1.01/0.0/0.0/16_013/0001792</w:t>
      </w:r>
      <w:r w:rsidR="0098773D" w:rsidRPr="0098773D" w:rsidDel="0098773D">
        <w:rPr>
          <w:rFonts w:cs="Calibri"/>
          <w:sz w:val="20"/>
          <w:szCs w:val="20"/>
        </w:rPr>
        <w:t xml:space="preserve"> </w:t>
      </w:r>
      <w:r w:rsidR="0098773D" w:rsidRPr="0098773D">
        <w:rPr>
          <w:rFonts w:cs="Calibri"/>
          <w:sz w:val="20"/>
          <w:szCs w:val="20"/>
        </w:rPr>
        <w:t>Modernizace výzkumné infrastruktury RINGEN</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939AF9E" w14:textId="605BFE70" w:rsidR="00DA4977" w:rsidRPr="0059118A" w:rsidRDefault="00DA4977" w:rsidP="0075127E">
      <w:pPr>
        <w:spacing w:after="60" w:line="276" w:lineRule="auto"/>
        <w:jc w:val="both"/>
        <w:rPr>
          <w:rFonts w:cs="Calibri"/>
          <w:sz w:val="20"/>
          <w:szCs w:val="20"/>
        </w:rPr>
      </w:pP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75127E">
        <w:rPr>
          <w:rFonts w:asciiTheme="minorHAnsi" w:hAnsiTheme="minorHAnsi" w:cs="Arial"/>
          <w:i w:val="0"/>
          <w:snapToGrid w:val="0"/>
          <w:color w:val="auto"/>
          <w:sz w:val="20"/>
          <w:szCs w:val="20"/>
          <w:lang w:eastAsia="en-US"/>
        </w:rPr>
        <w:t>upujícího,</w:t>
      </w:r>
    </w:p>
    <w:p w14:paraId="246F8A5A" w14:textId="396E7FA3"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75127E">
        <w:rPr>
          <w:rFonts w:asciiTheme="minorHAnsi" w:hAnsiTheme="minorHAnsi" w:cs="Arial"/>
          <w:i w:val="0"/>
          <w:snapToGrid w:val="0"/>
          <w:color w:val="auto"/>
          <w:sz w:val="20"/>
          <w:szCs w:val="20"/>
          <w:lang w:eastAsia="en-US"/>
        </w:rPr>
        <w:t>upujícího,</w:t>
      </w:r>
    </w:p>
    <w:p w14:paraId="661B7682" w14:textId="7BD1837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75127E">
        <w:rPr>
          <w:rFonts w:asciiTheme="minorHAnsi" w:hAnsiTheme="minorHAnsi" w:cs="Arial"/>
          <w:i w:val="0"/>
          <w:snapToGrid w:val="0"/>
          <w:color w:val="auto"/>
          <w:sz w:val="20"/>
          <w:szCs w:val="20"/>
          <w:lang w:eastAsia="en-US"/>
        </w:rPr>
        <w:t>rodávajícího</w:t>
      </w:r>
    </w:p>
    <w:p w14:paraId="469E54EF" w14:textId="00540F3D"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75127E">
        <w:rPr>
          <w:rFonts w:asciiTheme="minorHAnsi" w:hAnsiTheme="minorHAnsi" w:cs="Arial"/>
          <w:i w:val="0"/>
          <w:snapToGrid w:val="0"/>
          <w:color w:val="auto"/>
          <w:sz w:val="20"/>
          <w:szCs w:val="20"/>
          <w:lang w:eastAsia="en-US"/>
        </w:rPr>
        <w:t>rodávají</w:t>
      </w:r>
      <w:r w:rsidR="0075127E">
        <w:rPr>
          <w:rFonts w:asciiTheme="minorHAnsi" w:hAnsiTheme="minorHAnsi" w:cs="Arial"/>
          <w:i w:val="0"/>
          <w:snapToGrid w:val="0"/>
          <w:color w:val="auto"/>
          <w:sz w:val="20"/>
          <w:szCs w:val="20"/>
          <w:lang w:eastAsia="en-US"/>
        </w:rPr>
        <w:t>cí</w:t>
      </w:r>
      <w:r w:rsidR="00B76414" w:rsidRPr="0075127E">
        <w:rPr>
          <w:rFonts w:asciiTheme="minorHAnsi" w:hAnsiTheme="minorHAnsi" w:cs="Arial"/>
          <w:i w:val="0"/>
          <w:snapToGrid w:val="0"/>
          <w:color w:val="auto"/>
          <w:sz w:val="20"/>
          <w:szCs w:val="20"/>
          <w:lang w:eastAsia="en-US"/>
        </w:rPr>
        <w:t>ho</w:t>
      </w:r>
      <w:r w:rsidR="00F65928" w:rsidRPr="0075127E">
        <w:rPr>
          <w:rFonts w:asciiTheme="minorHAnsi" w:hAnsiTheme="minorHAnsi" w:cs="Arial"/>
          <w:i w:val="0"/>
          <w:snapToGrid w:val="0"/>
          <w:color w:val="auto"/>
          <w:sz w:val="20"/>
          <w:szCs w:val="20"/>
          <w:lang w:eastAsia="en-US"/>
        </w:rPr>
        <w:t>,</w:t>
      </w:r>
    </w:p>
    <w:p w14:paraId="432D2A64" w14:textId="66B0CF19"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Číslo daňového dokladu</w:t>
      </w:r>
      <w:r w:rsidR="00F65928" w:rsidRPr="0075127E">
        <w:rPr>
          <w:rFonts w:asciiTheme="minorHAnsi" w:hAnsiTheme="minorHAnsi" w:cs="Arial"/>
          <w:i w:val="0"/>
          <w:snapToGrid w:val="0"/>
          <w:color w:val="auto"/>
          <w:sz w:val="20"/>
          <w:szCs w:val="20"/>
          <w:lang w:eastAsia="en-US"/>
        </w:rPr>
        <w:t>,</w:t>
      </w:r>
    </w:p>
    <w:p w14:paraId="36C028CD" w14:textId="6C39C6B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zdanitelného plnění</w:t>
      </w:r>
    </w:p>
    <w:p w14:paraId="466DD974" w14:textId="18EDBC68" w:rsidR="00F65928" w:rsidRPr="0075127E" w:rsidRDefault="00B76414" w:rsidP="0075127E">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Kupní cenu bez DPH</w:t>
      </w:r>
      <w:r w:rsidR="00F65928" w:rsidRPr="0075127E">
        <w:rPr>
          <w:rFonts w:asciiTheme="minorHAnsi" w:hAnsiTheme="minorHAnsi" w:cs="Arial"/>
          <w:i w:val="0"/>
          <w:snapToGrid w:val="0"/>
          <w:color w:val="auto"/>
          <w:sz w:val="20"/>
          <w:szCs w:val="20"/>
          <w:lang w:eastAsia="en-US"/>
        </w:rPr>
        <w:t>,</w:t>
      </w:r>
      <w:r w:rsidRPr="0075127E">
        <w:rPr>
          <w:rFonts w:asciiTheme="minorHAnsi" w:hAnsiTheme="minorHAnsi" w:cs="Arial"/>
          <w:i w:val="0"/>
          <w:snapToGrid w:val="0"/>
          <w:color w:val="auto"/>
          <w:sz w:val="20"/>
          <w:szCs w:val="20"/>
          <w:lang w:eastAsia="en-US"/>
        </w:rPr>
        <w:t xml:space="preserve"> DPH, kupní cenu včetně DPH</w:t>
      </w:r>
    </w:p>
    <w:p w14:paraId="7361A451" w14:textId="09EC65F3" w:rsidR="00B76414"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Informaci, že předmět plnění je pořizován v rámci projektu č</w:t>
      </w:r>
      <w:r w:rsidR="0098773D">
        <w:rPr>
          <w:rFonts w:asciiTheme="minorHAnsi" w:hAnsiTheme="minorHAnsi" w:cs="Arial"/>
          <w:i w:val="0"/>
          <w:snapToGrid w:val="0"/>
          <w:color w:val="auto"/>
          <w:sz w:val="20"/>
          <w:szCs w:val="20"/>
          <w:lang w:eastAsia="en-US"/>
        </w:rPr>
        <w:t xml:space="preserve">. </w:t>
      </w:r>
      <w:r w:rsidR="0098773D" w:rsidRPr="00842388">
        <w:rPr>
          <w:rFonts w:asciiTheme="minorHAnsi" w:hAnsiTheme="minorHAnsi" w:cs="Arial"/>
          <w:i w:val="0"/>
          <w:snapToGrid w:val="0"/>
          <w:color w:val="auto"/>
          <w:sz w:val="20"/>
          <w:szCs w:val="20"/>
          <w:lang w:eastAsia="en-US"/>
        </w:rPr>
        <w:t>CZ.02.1.01/0.0/0.0/16_013/0001792</w:t>
      </w:r>
      <w:r w:rsidR="0098773D" w:rsidRPr="00842388" w:rsidDel="0098773D">
        <w:rPr>
          <w:rFonts w:asciiTheme="minorHAnsi" w:hAnsiTheme="minorHAnsi" w:cs="Arial"/>
          <w:i w:val="0"/>
          <w:snapToGrid w:val="0"/>
          <w:color w:val="auto"/>
          <w:sz w:val="20"/>
          <w:szCs w:val="20"/>
          <w:lang w:eastAsia="en-US"/>
        </w:rPr>
        <w:t xml:space="preserve"> </w:t>
      </w:r>
      <w:r w:rsidR="0098773D" w:rsidRPr="00842388">
        <w:rPr>
          <w:rFonts w:asciiTheme="minorHAnsi" w:hAnsiTheme="minorHAnsi" w:cs="Arial"/>
          <w:i w:val="0"/>
          <w:snapToGrid w:val="0"/>
          <w:color w:val="auto"/>
          <w:sz w:val="20"/>
          <w:szCs w:val="20"/>
          <w:lang w:eastAsia="en-US"/>
        </w:rPr>
        <w:t>Modernizace výzkumné infrastruktury RINGEN</w:t>
      </w:r>
      <w:r w:rsidRPr="0075127E">
        <w:rPr>
          <w:rFonts w:asciiTheme="minorHAnsi" w:hAnsiTheme="minorHAnsi" w:cs="Arial"/>
          <w:i w:val="0"/>
          <w:snapToGrid w:val="0"/>
          <w:color w:val="auto"/>
          <w:sz w:val="20"/>
          <w:szCs w:val="20"/>
          <w:lang w:eastAsia="en-US"/>
        </w:rPr>
        <w:t xml:space="preserve">.  </w:t>
      </w:r>
    </w:p>
    <w:p w14:paraId="160CC4DF" w14:textId="77777777" w:rsidR="00F65928" w:rsidRDefault="00F65928" w:rsidP="0075127E">
      <w:pPr>
        <w:spacing w:after="60" w:line="276" w:lineRule="auto"/>
        <w:ind w:left="720"/>
        <w:jc w:val="both"/>
        <w:rPr>
          <w:rFonts w:cs="Calibri"/>
          <w:sz w:val="20"/>
          <w:szCs w:val="20"/>
        </w:rPr>
      </w:pPr>
    </w:p>
    <w:p w14:paraId="1E998E5D" w14:textId="6E336B00" w:rsidR="00D52336" w:rsidRPr="00CC6A5E" w:rsidRDefault="00D52336" w:rsidP="0075127E">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AB69C0">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5EEDD3E1"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813BC9" w:rsidRPr="006D1FB0">
        <w:rPr>
          <w:rFonts w:ascii="Calibri" w:hAnsi="Calibri" w:cs="Calibri"/>
        </w:rPr>
        <w:t>5</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20047233"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CC76EA">
        <w:rPr>
          <w:rFonts w:cs="Calibri"/>
          <w:sz w:val="20"/>
          <w:szCs w:val="20"/>
        </w:rPr>
        <w:t xml:space="preserve"> o více jak 30 dní</w:t>
      </w:r>
      <w:r>
        <w:rPr>
          <w:rFonts w:cs="Calibri"/>
          <w:sz w:val="20"/>
          <w:szCs w:val="20"/>
        </w:rPr>
        <w:t xml:space="preserve">, se prodávající zavazuje </w:t>
      </w:r>
      <w:r w:rsidRPr="0059118A">
        <w:rPr>
          <w:rFonts w:cs="Calibri"/>
          <w:sz w:val="20"/>
          <w:szCs w:val="20"/>
        </w:rPr>
        <w:t xml:space="preserve">uhradit smluvní pokutu ve výši </w:t>
      </w:r>
      <w:r w:rsidR="00993C8A" w:rsidRPr="0059118A">
        <w:rPr>
          <w:rFonts w:cs="Calibri"/>
          <w:sz w:val="20"/>
          <w:szCs w:val="20"/>
        </w:rPr>
        <w:t>0,</w:t>
      </w:r>
      <w:r w:rsidR="00BB6CF7">
        <w:rPr>
          <w:rFonts w:cs="Calibri"/>
          <w:sz w:val="20"/>
          <w:szCs w:val="20"/>
        </w:rPr>
        <w:t>05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7A0C1873" w14:textId="69C29DE5" w:rsidR="00D52336" w:rsidRDefault="00D52336" w:rsidP="008A121E">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r w:rsidRPr="00006EBE">
        <w:rPr>
          <w:rFonts w:cs="Calibri"/>
          <w:sz w:val="20"/>
          <w:szCs w:val="20"/>
        </w:rPr>
        <w:t>Prodávající</w:t>
      </w:r>
      <w:r w:rsidR="00CD303D">
        <w:rPr>
          <w:rFonts w:cs="Calibri"/>
          <w:sz w:val="20"/>
          <w:szCs w:val="20"/>
        </w:rPr>
        <w:t xml:space="preserve"> se</w:t>
      </w:r>
      <w:r w:rsidRPr="00006EBE">
        <w:rPr>
          <w:rFonts w:cs="Calibri"/>
          <w:sz w:val="20"/>
          <w:szCs w:val="20"/>
        </w:rPr>
        <w:t xml:space="preserve"> </w:t>
      </w:r>
      <w:r w:rsidR="00CD303D">
        <w:rPr>
          <w:rFonts w:cs="Calibri"/>
          <w:sz w:val="20"/>
          <w:szCs w:val="20"/>
        </w:rPr>
        <w:t xml:space="preserve">zavazuje zajistit </w:t>
      </w:r>
      <w:r w:rsidRPr="00006EBE">
        <w:rPr>
          <w:rFonts w:cs="Calibri"/>
          <w:sz w:val="20"/>
          <w:szCs w:val="20"/>
        </w:rPr>
        <w:t xml:space="preserve">kupujícímu </w:t>
      </w:r>
      <w:r w:rsidR="00CD303D">
        <w:rPr>
          <w:rFonts w:cs="Calibri"/>
          <w:sz w:val="20"/>
          <w:szCs w:val="20"/>
        </w:rPr>
        <w:t>u výrobce přístroje</w:t>
      </w:r>
      <w:r w:rsidR="00CD303D" w:rsidRPr="00006EBE">
        <w:rPr>
          <w:rFonts w:cs="Calibri"/>
          <w:sz w:val="20"/>
          <w:szCs w:val="20"/>
        </w:rPr>
        <w:t xml:space="preserve"> </w:t>
      </w:r>
      <w:r w:rsidRPr="00006EBE">
        <w:rPr>
          <w:rFonts w:cs="Calibri"/>
          <w:sz w:val="20"/>
          <w:szCs w:val="20"/>
        </w:rPr>
        <w:t>bezúplatně aplikační a servisní podporu po dobu už</w:t>
      </w:r>
      <w:r w:rsidRPr="0090094A">
        <w:rPr>
          <w:rFonts w:cs="Calibri"/>
          <w:sz w:val="20"/>
          <w:szCs w:val="20"/>
        </w:rPr>
        <w:t>ívání zboží nad rámec záruky</w:t>
      </w:r>
      <w:r w:rsidR="007E7BAE">
        <w:rPr>
          <w:rFonts w:cs="Calibri"/>
          <w:sz w:val="20"/>
          <w:szCs w:val="20"/>
        </w:rPr>
        <w:t xml:space="preserve"> zejména </w:t>
      </w:r>
      <w:r>
        <w:rPr>
          <w:rFonts w:cs="Calibri"/>
          <w:sz w:val="20"/>
          <w:szCs w:val="20"/>
        </w:rPr>
        <w:t>p</w:t>
      </w:r>
      <w:r w:rsidRPr="0078186C">
        <w:rPr>
          <w:rFonts w:cs="Calibri"/>
          <w:sz w:val="20"/>
          <w:szCs w:val="20"/>
        </w:rPr>
        <w:t>oradensk</w:t>
      </w:r>
      <w:r>
        <w:rPr>
          <w:rFonts w:cs="Calibri"/>
          <w:sz w:val="20"/>
          <w:szCs w:val="20"/>
        </w:rPr>
        <w:t>ou</w:t>
      </w:r>
      <w:r w:rsidRPr="0078186C">
        <w:rPr>
          <w:rFonts w:cs="Calibri"/>
          <w:sz w:val="20"/>
          <w:szCs w:val="20"/>
        </w:rPr>
        <w:t xml:space="preserve"> služb</w:t>
      </w:r>
      <w:r>
        <w:rPr>
          <w:rFonts w:cs="Calibri"/>
          <w:sz w:val="20"/>
          <w:szCs w:val="20"/>
        </w:rPr>
        <w:t xml:space="preserve">u, </w:t>
      </w:r>
      <w:r w:rsidRPr="0078186C">
        <w:rPr>
          <w:rFonts w:cs="Calibri"/>
          <w:sz w:val="20"/>
          <w:szCs w:val="20"/>
        </w:rPr>
        <w:t>technick</w:t>
      </w:r>
      <w:r>
        <w:rPr>
          <w:rFonts w:cs="Calibri"/>
          <w:sz w:val="20"/>
          <w:szCs w:val="20"/>
        </w:rPr>
        <w:t xml:space="preserve">ou a </w:t>
      </w:r>
      <w:r w:rsidRPr="0078186C">
        <w:rPr>
          <w:rFonts w:cs="Calibri"/>
          <w:sz w:val="20"/>
          <w:szCs w:val="20"/>
        </w:rPr>
        <w:t>aplikační podpor</w:t>
      </w:r>
      <w:r>
        <w:rPr>
          <w:rFonts w:cs="Calibri"/>
          <w:sz w:val="20"/>
          <w:szCs w:val="20"/>
        </w:rPr>
        <w:t>u; bezplatný upgrade software během záruční doby.</w:t>
      </w:r>
      <w:r w:rsidR="00BD4F33">
        <w:rPr>
          <w:rFonts w:cs="Calibri"/>
          <w:sz w:val="20"/>
          <w:szCs w:val="20"/>
        </w:rPr>
        <w:t xml:space="preserve"> Tato podpora bud</w:t>
      </w:r>
      <w:r w:rsidR="002C2545">
        <w:rPr>
          <w:rFonts w:cs="Calibri"/>
          <w:sz w:val="20"/>
          <w:szCs w:val="20"/>
        </w:rPr>
        <w:t>e poskytována níže uvedenou osobou, na kterou je kupující oprávněn se obrátit, především ve věcech technické podpory a por</w:t>
      </w:r>
      <w:r w:rsidR="00BD4F33">
        <w:rPr>
          <w:rFonts w:cs="Calibri"/>
          <w:sz w:val="20"/>
          <w:szCs w:val="20"/>
        </w:rPr>
        <w:t>adenských služeb:</w:t>
      </w:r>
    </w:p>
    <w:p w14:paraId="2F26BB7B"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 xml:space="preserve">Jméno: </w:t>
      </w:r>
      <w:r w:rsidRPr="00FE38F5">
        <w:rPr>
          <w:rFonts w:cs="Calibri"/>
          <w:sz w:val="20"/>
          <w:szCs w:val="20"/>
          <w:highlight w:val="yellow"/>
        </w:rPr>
        <w:tab/>
      </w:r>
      <w:r w:rsidRPr="00FE38F5">
        <w:rPr>
          <w:rFonts w:cs="Calibri"/>
          <w:sz w:val="20"/>
          <w:szCs w:val="20"/>
          <w:highlight w:val="yellow"/>
        </w:rPr>
        <w:tab/>
      </w:r>
      <w:r w:rsidRPr="002C2545">
        <w:rPr>
          <w:rFonts w:cs="Calibri"/>
          <w:sz w:val="20"/>
          <w:szCs w:val="20"/>
          <w:highlight w:val="yellow"/>
        </w:rPr>
        <w:t>………………….........................................……………</w:t>
      </w:r>
    </w:p>
    <w:p w14:paraId="7BF33233"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email:</w:t>
      </w:r>
      <w:r w:rsidRPr="00FE38F5">
        <w:rPr>
          <w:rFonts w:cs="Calibri"/>
          <w:sz w:val="20"/>
          <w:szCs w:val="20"/>
          <w:highlight w:val="yellow"/>
        </w:rPr>
        <w:tab/>
      </w:r>
      <w:r w:rsidRPr="00FE38F5">
        <w:rPr>
          <w:rFonts w:cs="Calibri"/>
          <w:sz w:val="20"/>
          <w:szCs w:val="20"/>
          <w:highlight w:val="yellow"/>
        </w:rPr>
        <w:tab/>
      </w:r>
      <w:r w:rsidRPr="002C2545">
        <w:rPr>
          <w:rFonts w:cs="Calibri"/>
          <w:sz w:val="20"/>
          <w:szCs w:val="20"/>
          <w:highlight w:val="yellow"/>
        </w:rPr>
        <w:t>………………….........................................……………</w:t>
      </w:r>
    </w:p>
    <w:p w14:paraId="3BD9CA89"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 xml:space="preserve">tel.: </w:t>
      </w:r>
      <w:r w:rsidRPr="00FE38F5">
        <w:rPr>
          <w:rFonts w:cs="Calibri"/>
          <w:sz w:val="20"/>
          <w:szCs w:val="20"/>
          <w:highlight w:val="yellow"/>
        </w:rPr>
        <w:tab/>
      </w:r>
      <w:r w:rsidRPr="00FE38F5">
        <w:rPr>
          <w:rFonts w:cs="Calibri"/>
          <w:sz w:val="20"/>
          <w:szCs w:val="20"/>
          <w:highlight w:val="yellow"/>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0BDE7194" w14:textId="77777777" w:rsidR="002C2545" w:rsidRPr="00CC6A5E" w:rsidRDefault="002C2545" w:rsidP="00FE38F5">
      <w:pPr>
        <w:pStyle w:val="Odstavecseseznamem1"/>
        <w:autoSpaceDE w:val="0"/>
        <w:autoSpaceDN w:val="0"/>
        <w:adjustRightInd w:val="0"/>
        <w:spacing w:after="60" w:line="276" w:lineRule="auto"/>
        <w:ind w:left="709"/>
        <w:jc w:val="both"/>
        <w:rPr>
          <w:rFonts w:cs="Calibri"/>
          <w:sz w:val="20"/>
          <w:szCs w:val="20"/>
        </w:rPr>
      </w:pPr>
    </w:p>
    <w:p w14:paraId="3D12E631" w14:textId="6C331FC1" w:rsidR="00D52336" w:rsidRPr="00A871D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77777777"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s pojišťovnou se sídlem na území České republiky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Pr>
          <w:sz w:val="20"/>
          <w:szCs w:val="20"/>
        </w:rPr>
        <w:t xml:space="preserve">Tuto povinnost plní prodávající jak uzavřením speciální pojistné smlouvy pro předmětné plnění, tak platnou obecnou smlouvou o odpovědnosti za škody, která se bude vztahovat i na toto předmětné plnění a splňuje výše uvedené limity.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Pr>
          <w:sz w:val="20"/>
          <w:szCs w:val="20"/>
        </w:rPr>
        <w:t>třetí</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lastRenderedPageBreak/>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4F92DF51" w:rsidR="005669D1" w:rsidRPr="006C1F6D" w:rsidRDefault="00DF7324" w:rsidP="00DF7324">
      <w:pPr>
        <w:spacing w:before="240" w:after="60" w:line="276" w:lineRule="auto"/>
        <w:ind w:left="720"/>
        <w:jc w:val="both"/>
        <w:rPr>
          <w:rFonts w:cs="Calibri"/>
          <w:sz w:val="20"/>
          <w:szCs w:val="20"/>
        </w:rPr>
      </w:pPr>
      <w:bookmarkStart w:id="1"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proofErr w:type="spellStart"/>
      <w:proofErr w:type="gramStart"/>
      <w:r w:rsidR="0098773D">
        <w:rPr>
          <w:rFonts w:cs="Calibri"/>
          <w:sz w:val="20"/>
          <w:szCs w:val="20"/>
        </w:rPr>
        <w:t>Mgr.Petr</w:t>
      </w:r>
      <w:proofErr w:type="spellEnd"/>
      <w:proofErr w:type="gramEnd"/>
      <w:r w:rsidR="0098773D">
        <w:rPr>
          <w:rFonts w:cs="Calibri"/>
          <w:sz w:val="20"/>
          <w:szCs w:val="20"/>
        </w:rPr>
        <w:t xml:space="preserve"> Dědeček</w:t>
      </w:r>
    </w:p>
    <w:p w14:paraId="7E6D9991" w14:textId="0408AF9C"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98773D">
        <w:rPr>
          <w:rFonts w:cs="Calibri"/>
          <w:sz w:val="20"/>
          <w:szCs w:val="20"/>
        </w:rPr>
        <w:t>pd</w:t>
      </w:r>
      <w:r w:rsidR="00415272" w:rsidRPr="0075127E">
        <w:rPr>
          <w:rFonts w:cs="Calibri"/>
          <w:sz w:val="20"/>
          <w:szCs w:val="20"/>
        </w:rPr>
        <w:t>@ig.cas.cz</w:t>
      </w:r>
    </w:p>
    <w:p w14:paraId="29EA4DA5" w14:textId="0C3CC3A6" w:rsidR="00DF7324" w:rsidRPr="00DF7324" w:rsidRDefault="00DF7324" w:rsidP="0075127E">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75127E">
        <w:rPr>
          <w:rFonts w:cs="Calibri"/>
          <w:sz w:val="20"/>
          <w:szCs w:val="20"/>
        </w:rPr>
        <w:t xml:space="preserve">267 103 </w:t>
      </w:r>
      <w:r w:rsidR="0098773D">
        <w:rPr>
          <w:rFonts w:cs="Calibri"/>
          <w:sz w:val="20"/>
          <w:szCs w:val="20"/>
        </w:rPr>
        <w:t>054</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0EFEEFBB"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4651B5">
        <w:rPr>
          <w:rFonts w:asciiTheme="minorHAnsi" w:hAnsiTheme="minorHAnsi" w:cstheme="minorHAnsi"/>
          <w:sz w:val="20"/>
          <w:szCs w:val="20"/>
        </w:rPr>
        <w:t>2</w:t>
      </w:r>
      <w:r w:rsidR="0098773D">
        <w:rPr>
          <w:rFonts w:asciiTheme="minorHAnsi" w:hAnsiTheme="minorHAnsi" w:cstheme="minorHAnsi"/>
          <w:sz w:val="20"/>
          <w:szCs w:val="20"/>
        </w:rPr>
        <w:t>4</w:t>
      </w:r>
      <w:r w:rsidR="004651B5">
        <w:rPr>
          <w:rFonts w:asciiTheme="minorHAnsi" w:hAnsiTheme="minorHAnsi" w:cstheme="minorHAnsi"/>
          <w:sz w:val="20"/>
          <w:szCs w:val="20"/>
        </w:rPr>
        <w:t xml:space="preserve"> </w:t>
      </w:r>
      <w:r w:rsidR="005E7CB7" w:rsidRPr="00AD41B7">
        <w:rPr>
          <w:rFonts w:asciiTheme="minorHAnsi" w:hAnsiTheme="minorHAnsi" w:cstheme="minorHAnsi"/>
          <w:sz w:val="20"/>
          <w:szCs w:val="20"/>
        </w:rPr>
        <w:t>měsíců</w:t>
      </w:r>
      <w:r w:rsidR="005D68A1" w:rsidRPr="00AD41B7">
        <w:rPr>
          <w:rFonts w:asciiTheme="minorHAnsi" w:hAnsiTheme="minorHAnsi" w:cstheme="minorHAnsi"/>
          <w:sz w:val="20"/>
          <w:szCs w:val="20"/>
        </w:rPr>
        <w:t xml:space="preserve"> (on-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V případě, že prodávající nabízí delší záruční dobu, má tato přednost pře</w:t>
      </w:r>
      <w:r w:rsidR="00851097">
        <w:rPr>
          <w:rFonts w:asciiTheme="minorHAnsi" w:hAnsiTheme="minorHAnsi" w:cstheme="minorHAnsi"/>
          <w:sz w:val="20"/>
          <w:szCs w:val="20"/>
        </w:rPr>
        <w:t>d</w:t>
      </w:r>
      <w:r w:rsidR="00F80177">
        <w:rPr>
          <w:rFonts w:asciiTheme="minorHAnsi" w:hAnsiTheme="minorHAnsi" w:cstheme="minorHAnsi"/>
          <w:sz w:val="20"/>
          <w:szCs w:val="20"/>
        </w:rPr>
        <w:t xml:space="preserve"> délkou záruční doby uvedenou v této kupní smlouvě.</w:t>
      </w:r>
    </w:p>
    <w:p w14:paraId="490E2A29" w14:textId="624889D7"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AB69C0">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65ACA289"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6D63A4">
        <w:rPr>
          <w:rFonts w:asciiTheme="minorHAnsi" w:hAnsiTheme="minorHAnsi" w:cstheme="minorHAnsi"/>
          <w:i/>
          <w:sz w:val="20"/>
          <w:szCs w:val="20"/>
          <w:highlight w:val="yellow"/>
        </w:rPr>
        <w:t>účastník</w:t>
      </w:r>
      <w:r w:rsidR="006D63A4"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FE38F5">
      <w:pPr>
        <w:pStyle w:val="Odstavecseseznamem"/>
        <w:spacing w:after="60" w:line="276" w:lineRule="auto"/>
        <w:ind w:left="709"/>
        <w:jc w:val="both"/>
        <w:rPr>
          <w:rFonts w:asciiTheme="minorHAnsi" w:hAnsiTheme="minorHAnsi" w:cstheme="minorHAnsi"/>
          <w:sz w:val="20"/>
          <w:szCs w:val="20"/>
        </w:rPr>
      </w:pPr>
      <w:r w:rsidRPr="00FE38F5">
        <w:rPr>
          <w:rFonts w:asciiTheme="minorHAnsi" w:hAnsiTheme="minorHAnsi" w:cstheme="minorHAnsi"/>
          <w:sz w:val="20"/>
          <w:szCs w:val="20"/>
        </w:rPr>
        <w:t>Kupující má právo:</w:t>
      </w:r>
    </w:p>
    <w:p w14:paraId="37D17F2F" w14:textId="70A11C37"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 xml:space="preserve">požádat o odstranění vady dodáním nového předmětu </w:t>
      </w:r>
      <w:r w:rsidR="00AB69C0">
        <w:rPr>
          <w:rFonts w:asciiTheme="minorHAnsi" w:hAnsiTheme="minorHAnsi" w:cstheme="minorHAnsi"/>
          <w:sz w:val="20"/>
          <w:szCs w:val="20"/>
        </w:rPr>
        <w:t xml:space="preserve">kupní smlouvy </w:t>
      </w:r>
      <w:r w:rsidRPr="00FE38F5">
        <w:rPr>
          <w:rFonts w:asciiTheme="minorHAnsi" w:hAnsiTheme="minorHAnsi" w:cstheme="minorHAnsi"/>
          <w:sz w:val="20"/>
          <w:szCs w:val="20"/>
        </w:rPr>
        <w:t>nebo jeho jednotlivých částí nebo</w:t>
      </w:r>
    </w:p>
    <w:p w14:paraId="134DDF07" w14:textId="77777777" w:rsidR="00F80177" w:rsidRP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odstranění vady opravou nebo</w:t>
      </w:r>
    </w:p>
    <w:p w14:paraId="625446EC" w14:textId="651B00EA"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FE38F5" w:rsidRDefault="00F80177" w:rsidP="00FE38F5">
      <w:pPr>
        <w:spacing w:after="60" w:line="276" w:lineRule="auto"/>
        <w:ind w:left="708"/>
        <w:jc w:val="both"/>
        <w:rPr>
          <w:rFonts w:asciiTheme="minorHAnsi" w:hAnsiTheme="minorHAnsi" w:cstheme="minorHAnsi"/>
          <w:sz w:val="20"/>
          <w:szCs w:val="20"/>
        </w:rPr>
      </w:pPr>
      <w:r w:rsidRPr="00FE38F5">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FE38F5">
        <w:rPr>
          <w:rFonts w:asciiTheme="minorHAnsi" w:hAnsiTheme="minorHAnsi" w:cstheme="minorHAnsi"/>
          <w:sz w:val="20"/>
          <w:szCs w:val="20"/>
        </w:rPr>
        <w:t xml:space="preserve"> s vadami tato smlouva podstatně porušena.</w:t>
      </w:r>
    </w:p>
    <w:p w14:paraId="55E575EE" w14:textId="6FE116B0"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 xml:space="preserve">techniků a pod.) </w:t>
      </w:r>
      <w:r w:rsidR="003B546C">
        <w:rPr>
          <w:rFonts w:asciiTheme="minorHAnsi" w:hAnsiTheme="minorHAnsi" w:cstheme="minorHAnsi"/>
          <w:sz w:val="20"/>
          <w:szCs w:val="20"/>
        </w:rPr>
        <w:t>.</w:t>
      </w:r>
      <w:proofErr w:type="gramEnd"/>
    </w:p>
    <w:p w14:paraId="6A230D49" w14:textId="194EEE54" w:rsidR="001A4924" w:rsidRDefault="003B546C"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lastRenderedPageBreak/>
        <w:t>Prodávající je povinen odstranit závadu do 30 dní od obdržení 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FE38F5">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FE38F5">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FE38F5">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FE38F5">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FE38F5">
        <w:rPr>
          <w:rFonts w:asciiTheme="minorHAnsi" w:hAnsiTheme="minorHAnsi" w:cstheme="minorHAnsi"/>
          <w:sz w:val="20"/>
          <w:szCs w:val="20"/>
        </w:rPr>
        <w:t xml:space="preserve"> skutečně vynaložené náklady na odstranění vady.</w:t>
      </w:r>
    </w:p>
    <w:p w14:paraId="1BA202FF" w14:textId="2EC78225"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FE38F5">
        <w:rPr>
          <w:rFonts w:asciiTheme="minorHAnsi" w:hAnsiTheme="minorHAnsi" w:cstheme="minorHAnsi"/>
          <w:sz w:val="20"/>
          <w:szCs w:val="20"/>
        </w:rPr>
        <w:t xml:space="preserve">trany </w:t>
      </w:r>
      <w:r w:rsidR="00AB69C0">
        <w:rPr>
          <w:rFonts w:asciiTheme="minorHAnsi" w:hAnsiTheme="minorHAnsi" w:cstheme="minorHAnsi"/>
          <w:sz w:val="20"/>
          <w:szCs w:val="20"/>
        </w:rPr>
        <w:t>sepíší</w:t>
      </w:r>
      <w:r w:rsidR="00AB69C0" w:rsidRPr="00FE38F5">
        <w:rPr>
          <w:rFonts w:asciiTheme="minorHAnsi" w:hAnsiTheme="minorHAnsi" w:cstheme="minorHAnsi"/>
          <w:sz w:val="20"/>
          <w:szCs w:val="20"/>
        </w:rPr>
        <w:t xml:space="preserve"> </w:t>
      </w:r>
      <w:r w:rsidRPr="00FE38F5">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lastRenderedPageBreak/>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122D869B"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pozdějším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77777777"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1B056A72" w14:textId="4F2A96E8" w:rsidR="0037249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E30437">
        <w:rPr>
          <w:rFonts w:asciiTheme="minorHAnsi" w:hAnsiTheme="minorHAnsi" w:cstheme="minorHAnsi"/>
          <w:b/>
          <w:sz w:val="20"/>
          <w:szCs w:val="20"/>
        </w:rPr>
        <w:t>8.8</w:t>
      </w:r>
      <w:proofErr w:type="gramEnd"/>
      <w:r>
        <w:rPr>
          <w:rFonts w:asciiTheme="minorHAnsi" w:hAnsiTheme="minorHAnsi" w:cstheme="minorHAnsi"/>
          <w:b/>
          <w:sz w:val="20"/>
          <w:szCs w:val="20"/>
        </w:rPr>
        <w:t>.</w:t>
      </w:r>
      <w:r>
        <w:rPr>
          <w:rFonts w:asciiTheme="minorHAnsi" w:hAnsiTheme="minorHAnsi" w:cstheme="minorHAnsi"/>
          <w:sz w:val="20"/>
          <w:szCs w:val="20"/>
        </w:rPr>
        <w:tab/>
      </w:r>
      <w:r w:rsidR="00772B44" w:rsidRPr="00772B44">
        <w:rPr>
          <w:rFonts w:asciiTheme="minorHAnsi" w:hAnsiTheme="minorHAnsi" w:cstheme="minorHAnsi"/>
          <w:sz w:val="20"/>
          <w:szCs w:val="20"/>
        </w:rPr>
        <w:t xml:space="preserve">Prodávající je povinen dodat kupujícímu smlouvu a všechny související dokumenty ve strojově čitelném formátu Word </w:t>
      </w:r>
      <w:r w:rsidR="00EA7A9F">
        <w:rPr>
          <w:rFonts w:asciiTheme="minorHAnsi" w:hAnsiTheme="minorHAnsi" w:cstheme="minorHAnsi"/>
          <w:sz w:val="20"/>
          <w:szCs w:val="20"/>
        </w:rPr>
        <w:t>2007</w:t>
      </w:r>
      <w:r w:rsidR="00AC6556">
        <w:rPr>
          <w:rFonts w:asciiTheme="minorHAnsi" w:hAnsiTheme="minorHAnsi" w:cstheme="minorHAnsi"/>
          <w:sz w:val="20"/>
          <w:szCs w:val="20"/>
        </w:rPr>
        <w:t>.</w:t>
      </w:r>
    </w:p>
    <w:p w14:paraId="481CD02E" w14:textId="37957E14"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výslovně souhlasí s tím, aby Smlouva jako celek včetně všech příloh a údajů o Smluvních stranách, předmětu Smlouvy, číselném označení Smlouvy, Ceny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Smluvní strany prohlašují, že veškeré informace uvedené ve Smlouvě a jejích přílohách nepovažují za obchodní tajemství ve smyslu § 504 OZ a udělují svolení k jejich užití a zveřejnění bez stanovení jakýchkoliv dalších podmínek.</w:t>
      </w:r>
    </w:p>
    <w:p w14:paraId="146B5B11" w14:textId="77777777"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8.10</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p>
    <w:p w14:paraId="7591534B" w14:textId="3E4B2EB9"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2A9C46BE"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1A4BA5">
        <w:rPr>
          <w:rFonts w:asciiTheme="minorHAnsi" w:hAnsiTheme="minorHAnsi" w:cstheme="minorHAnsi"/>
          <w:sz w:val="20"/>
        </w:rPr>
        <w:t>a cenová nabídka</w:t>
      </w:r>
    </w:p>
    <w:p w14:paraId="72B1DD4B" w14:textId="4E99D1DC" w:rsidR="00B3490D" w:rsidRPr="00FE38F5" w:rsidRDefault="001A4924" w:rsidP="00FE38F5">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FE38F5">
        <w:rPr>
          <w:rFonts w:asciiTheme="minorHAnsi" w:hAnsiTheme="minorHAnsi" w:cstheme="minorHAnsi"/>
        </w:rPr>
        <w:t>Speciální ustanovení</w:t>
      </w:r>
    </w:p>
    <w:p w14:paraId="4A304D46" w14:textId="239B3C54" w:rsidR="00323F7F" w:rsidRDefault="00935361" w:rsidP="00323F7F">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FE38F5">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FE38F5">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FE38F5">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AB69C0">
        <w:rPr>
          <w:rFonts w:asciiTheme="minorHAnsi" w:hAnsiTheme="minorHAnsi" w:cstheme="minorHAnsi"/>
          <w:sz w:val="20"/>
          <w:szCs w:val="20"/>
        </w:rPr>
        <w:t>ho</w:t>
      </w:r>
      <w:r w:rsidR="001A4924" w:rsidRPr="00FE38F5">
        <w:rPr>
          <w:rFonts w:asciiTheme="minorHAnsi" w:hAnsiTheme="minorHAnsi" w:cstheme="minorHAnsi"/>
          <w:sz w:val="20"/>
          <w:szCs w:val="20"/>
        </w:rPr>
        <w:t xml:space="preserve"> vztah</w:t>
      </w:r>
      <w:r w:rsidRPr="00FE38F5">
        <w:rPr>
          <w:rFonts w:asciiTheme="minorHAnsi" w:hAnsiTheme="minorHAnsi" w:cstheme="minorHAnsi"/>
          <w:sz w:val="20"/>
          <w:szCs w:val="20"/>
        </w:rPr>
        <w:t>u tvořeného</w:t>
      </w:r>
      <w:r w:rsidR="001A4924" w:rsidRPr="00FE38F5">
        <w:rPr>
          <w:rFonts w:asciiTheme="minorHAnsi" w:hAnsiTheme="minorHAnsi" w:cstheme="minorHAnsi"/>
          <w:sz w:val="20"/>
          <w:szCs w:val="20"/>
        </w:rPr>
        <w:t xml:space="preserve"> touto smlouvou. Tato povinnost se vztahuje také na dokumenty, které podléhají ochraně podle jiných zákonů (obchodní ta</w:t>
      </w:r>
      <w:r w:rsidRPr="00FE38F5">
        <w:rPr>
          <w:rFonts w:asciiTheme="minorHAnsi" w:hAnsiTheme="minorHAnsi" w:cstheme="minorHAnsi"/>
          <w:sz w:val="20"/>
          <w:szCs w:val="20"/>
        </w:rPr>
        <w:t>jemství, tajné informace atd.), z</w:t>
      </w:r>
      <w:r w:rsidR="001A4924" w:rsidRPr="00FE38F5">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768EABB5" w14:textId="77777777" w:rsidR="00323F7F"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p>
    <w:p w14:paraId="28459A79" w14:textId="23BD8A01" w:rsidR="00FE38F5" w:rsidRPr="00935361"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r>
        <w:rPr>
          <w:rFonts w:asciiTheme="minorHAnsi" w:hAnsiTheme="minorHAnsi" w:cstheme="minorHAnsi"/>
          <w:sz w:val="20"/>
          <w:szCs w:val="20"/>
        </w:rPr>
        <w:t>9.2</w:t>
      </w:r>
      <w:r>
        <w:rPr>
          <w:rFonts w:asciiTheme="minorHAnsi" w:hAnsiTheme="minorHAnsi" w:cstheme="minorHAnsi"/>
          <w:sz w:val="20"/>
          <w:szCs w:val="20"/>
        </w:rPr>
        <w:tab/>
      </w:r>
      <w:r w:rsidR="00FE38F5" w:rsidRPr="00FE38F5">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00FE38F5" w:rsidRPr="00FE38F5">
        <w:rPr>
          <w:rFonts w:asciiTheme="minorHAnsi" w:hAnsiTheme="minorHAnsi" w:cstheme="minorHAnsi"/>
          <w:sz w:val="20"/>
          <w:szCs w:val="20"/>
        </w:rPr>
        <w:t>reg</w:t>
      </w:r>
      <w:proofErr w:type="spellEnd"/>
      <w:r w:rsidR="00FE38F5" w:rsidRPr="00FE38F5">
        <w:rPr>
          <w:rFonts w:asciiTheme="minorHAnsi" w:hAnsiTheme="minorHAnsi" w:cstheme="minorHAnsi"/>
          <w:sz w:val="20"/>
          <w:szCs w:val="20"/>
        </w:rPr>
        <w:t xml:space="preserve">. </w:t>
      </w:r>
      <w:proofErr w:type="gramStart"/>
      <w:r w:rsidR="00FE38F5" w:rsidRPr="00FE38F5">
        <w:rPr>
          <w:rFonts w:asciiTheme="minorHAnsi" w:hAnsiTheme="minorHAnsi" w:cstheme="minorHAnsi"/>
          <w:sz w:val="20"/>
          <w:szCs w:val="20"/>
        </w:rPr>
        <w:t>číslo</w:t>
      </w:r>
      <w:proofErr w:type="gramEnd"/>
      <w:r w:rsidR="00FE38F5" w:rsidRPr="00FE38F5">
        <w:rPr>
          <w:rFonts w:asciiTheme="minorHAnsi" w:hAnsiTheme="minorHAnsi" w:cstheme="minorHAnsi"/>
          <w:sz w:val="20"/>
          <w:szCs w:val="20"/>
        </w:rPr>
        <w:t xml:space="preserve">: </w:t>
      </w:r>
      <w:r w:rsidR="0098773D" w:rsidRPr="0098773D">
        <w:rPr>
          <w:rFonts w:cs="Calibri"/>
          <w:sz w:val="20"/>
          <w:szCs w:val="20"/>
        </w:rPr>
        <w:t>CZ.02.1.01/0.0/0.0/16_013/0001792</w:t>
      </w:r>
      <w:r w:rsidR="00FE38F5" w:rsidRPr="00FE38F5">
        <w:rPr>
          <w:rFonts w:asciiTheme="minorHAnsi" w:hAnsiTheme="minorHAnsi" w:cstheme="minorHAnsi"/>
          <w:sz w:val="20"/>
          <w:szCs w:val="20"/>
        </w:rPr>
        <w:t xml:space="preserve"> ("Projekt"),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72551656"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 </w:t>
      </w:r>
      <w:r w:rsidR="00B3490D">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default" r:id="rId8"/>
      <w:footerReference w:type="even" r:id="rId9"/>
      <w:footerReference w:type="default" r:id="rId10"/>
      <w:pgSz w:w="11906" w:h="16838"/>
      <w:pgMar w:top="1390"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E262" w14:textId="77777777" w:rsidR="00E449CB" w:rsidRDefault="00E449CB">
      <w:r>
        <w:separator/>
      </w:r>
    </w:p>
    <w:p w14:paraId="711BA097" w14:textId="77777777" w:rsidR="00E449CB" w:rsidRDefault="00E449CB"/>
  </w:endnote>
  <w:endnote w:type="continuationSeparator" w:id="0">
    <w:p w14:paraId="540D95C0" w14:textId="77777777" w:rsidR="00E449CB" w:rsidRDefault="00E449CB">
      <w:r>
        <w:continuationSeparator/>
      </w:r>
    </w:p>
    <w:p w14:paraId="2836CD1B" w14:textId="77777777" w:rsidR="00E449CB" w:rsidRDefault="00E44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7ABBC3B1"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5347">
      <w:rPr>
        <w:rStyle w:val="slostrnky"/>
        <w:noProof/>
      </w:rPr>
      <w:t>8</w:t>
    </w:r>
    <w:r>
      <w:rPr>
        <w:rStyle w:val="slostrnky"/>
      </w:rPr>
      <w:fldChar w:fldCharType="end"/>
    </w:r>
  </w:p>
  <w:p w14:paraId="215C40C5" w14:textId="77777777" w:rsidR="009A5606" w:rsidRDefault="009A560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B50E" w14:textId="77777777" w:rsidR="00E449CB" w:rsidRDefault="00E449CB">
      <w:r>
        <w:separator/>
      </w:r>
    </w:p>
    <w:p w14:paraId="00E7B760" w14:textId="77777777" w:rsidR="00E449CB" w:rsidRDefault="00E449CB"/>
  </w:footnote>
  <w:footnote w:type="continuationSeparator" w:id="0">
    <w:p w14:paraId="4B10D1ED" w14:textId="77777777" w:rsidR="00E449CB" w:rsidRDefault="00E449CB">
      <w:r>
        <w:continuationSeparator/>
      </w:r>
    </w:p>
    <w:p w14:paraId="5F525C05" w14:textId="77777777" w:rsidR="00E449CB" w:rsidRDefault="00E449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2EF7CDF8" w:rsidR="009A5606" w:rsidRDefault="00C06D18">
    <w:pPr>
      <w:pStyle w:val="Zhlav"/>
    </w:pPr>
    <w:r w:rsidRPr="00E23801">
      <w:rPr>
        <w:noProof/>
      </w:rPr>
      <w:drawing>
        <wp:inline distT="0" distB="0" distL="0" distR="0" wp14:anchorId="6C58B875" wp14:editId="62DBDDC0">
          <wp:extent cx="5939790" cy="789305"/>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305"/>
                  </a:xfrm>
                  <a:prstGeom prst="rect">
                    <a:avLst/>
                  </a:prstGeom>
                  <a:noFill/>
                  <a:ln>
                    <a:noFill/>
                  </a:ln>
                </pic:spPr>
              </pic:pic>
            </a:graphicData>
          </a:graphic>
        </wp:inline>
      </w:drawing>
    </w:r>
  </w:p>
  <w:p w14:paraId="73A56DCB" w14:textId="77777777" w:rsidR="00C06D18" w:rsidRDefault="00C06D1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D88"/>
    <w:rsid w:val="00011E81"/>
    <w:rsid w:val="00013A0E"/>
    <w:rsid w:val="00014FD5"/>
    <w:rsid w:val="00015D1E"/>
    <w:rsid w:val="00015F90"/>
    <w:rsid w:val="00016358"/>
    <w:rsid w:val="00017DC4"/>
    <w:rsid w:val="00023C70"/>
    <w:rsid w:val="0002552B"/>
    <w:rsid w:val="00027D94"/>
    <w:rsid w:val="000425CB"/>
    <w:rsid w:val="000453EC"/>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F2DC3"/>
    <w:rsid w:val="000F531A"/>
    <w:rsid w:val="000F58C9"/>
    <w:rsid w:val="000F5C41"/>
    <w:rsid w:val="00101DEF"/>
    <w:rsid w:val="001042E5"/>
    <w:rsid w:val="00110B1E"/>
    <w:rsid w:val="00111063"/>
    <w:rsid w:val="0011159D"/>
    <w:rsid w:val="001127FD"/>
    <w:rsid w:val="00115071"/>
    <w:rsid w:val="00115C19"/>
    <w:rsid w:val="001207D0"/>
    <w:rsid w:val="00120A04"/>
    <w:rsid w:val="001234E5"/>
    <w:rsid w:val="0012611E"/>
    <w:rsid w:val="00135B6D"/>
    <w:rsid w:val="0013666E"/>
    <w:rsid w:val="0014168E"/>
    <w:rsid w:val="00142041"/>
    <w:rsid w:val="00142350"/>
    <w:rsid w:val="0014374C"/>
    <w:rsid w:val="001450CC"/>
    <w:rsid w:val="00145347"/>
    <w:rsid w:val="00146485"/>
    <w:rsid w:val="001508B3"/>
    <w:rsid w:val="00152A18"/>
    <w:rsid w:val="00155BD5"/>
    <w:rsid w:val="00155EA5"/>
    <w:rsid w:val="001577A7"/>
    <w:rsid w:val="00157D1E"/>
    <w:rsid w:val="0016058A"/>
    <w:rsid w:val="00160AC7"/>
    <w:rsid w:val="0016452D"/>
    <w:rsid w:val="00165D88"/>
    <w:rsid w:val="0016678D"/>
    <w:rsid w:val="00167D36"/>
    <w:rsid w:val="00172659"/>
    <w:rsid w:val="00174591"/>
    <w:rsid w:val="00180E58"/>
    <w:rsid w:val="00185852"/>
    <w:rsid w:val="001900D9"/>
    <w:rsid w:val="00193623"/>
    <w:rsid w:val="001950C7"/>
    <w:rsid w:val="001A3760"/>
    <w:rsid w:val="001A4924"/>
    <w:rsid w:val="001A4BA5"/>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2B43"/>
    <w:rsid w:val="00217097"/>
    <w:rsid w:val="00223CBC"/>
    <w:rsid w:val="0023185D"/>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4FA9"/>
    <w:rsid w:val="002F6C98"/>
    <w:rsid w:val="002F6DC5"/>
    <w:rsid w:val="00301CD5"/>
    <w:rsid w:val="00301F24"/>
    <w:rsid w:val="00302934"/>
    <w:rsid w:val="0030639A"/>
    <w:rsid w:val="003127D0"/>
    <w:rsid w:val="003141E6"/>
    <w:rsid w:val="00315478"/>
    <w:rsid w:val="00323F7F"/>
    <w:rsid w:val="003267F2"/>
    <w:rsid w:val="00330969"/>
    <w:rsid w:val="00332812"/>
    <w:rsid w:val="00334E89"/>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5272"/>
    <w:rsid w:val="00421728"/>
    <w:rsid w:val="004219D7"/>
    <w:rsid w:val="004229B1"/>
    <w:rsid w:val="00436206"/>
    <w:rsid w:val="0043752F"/>
    <w:rsid w:val="00440369"/>
    <w:rsid w:val="0044194A"/>
    <w:rsid w:val="00441DC4"/>
    <w:rsid w:val="004425A8"/>
    <w:rsid w:val="004467C8"/>
    <w:rsid w:val="00447AC7"/>
    <w:rsid w:val="004502E4"/>
    <w:rsid w:val="00451A99"/>
    <w:rsid w:val="00462C18"/>
    <w:rsid w:val="00464F2A"/>
    <w:rsid w:val="004651B5"/>
    <w:rsid w:val="0046728F"/>
    <w:rsid w:val="00472796"/>
    <w:rsid w:val="004731E3"/>
    <w:rsid w:val="0048158F"/>
    <w:rsid w:val="00482B7F"/>
    <w:rsid w:val="004851AB"/>
    <w:rsid w:val="00491DBF"/>
    <w:rsid w:val="004A1082"/>
    <w:rsid w:val="004A2952"/>
    <w:rsid w:val="004A29E9"/>
    <w:rsid w:val="004A5501"/>
    <w:rsid w:val="004B097C"/>
    <w:rsid w:val="004B3069"/>
    <w:rsid w:val="004B4DFA"/>
    <w:rsid w:val="004B6647"/>
    <w:rsid w:val="004C02DA"/>
    <w:rsid w:val="004C63B3"/>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5C04"/>
    <w:rsid w:val="00546660"/>
    <w:rsid w:val="0055163C"/>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2032F"/>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82B"/>
    <w:rsid w:val="006A0758"/>
    <w:rsid w:val="006A0C9B"/>
    <w:rsid w:val="006A26FF"/>
    <w:rsid w:val="006A38C3"/>
    <w:rsid w:val="006A6BCA"/>
    <w:rsid w:val="006B04AC"/>
    <w:rsid w:val="006B07A9"/>
    <w:rsid w:val="006B0AB2"/>
    <w:rsid w:val="006B2123"/>
    <w:rsid w:val="006B2315"/>
    <w:rsid w:val="006C1F6D"/>
    <w:rsid w:val="006D0CFF"/>
    <w:rsid w:val="006D1FB0"/>
    <w:rsid w:val="006D63A4"/>
    <w:rsid w:val="006D687F"/>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5127E"/>
    <w:rsid w:val="00756BAC"/>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2321"/>
    <w:rsid w:val="007F3627"/>
    <w:rsid w:val="007F433F"/>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388"/>
    <w:rsid w:val="00842498"/>
    <w:rsid w:val="00844139"/>
    <w:rsid w:val="00844C71"/>
    <w:rsid w:val="00844CD1"/>
    <w:rsid w:val="00846049"/>
    <w:rsid w:val="00851097"/>
    <w:rsid w:val="00851651"/>
    <w:rsid w:val="008529E3"/>
    <w:rsid w:val="00857D6C"/>
    <w:rsid w:val="00860F1F"/>
    <w:rsid w:val="0086193D"/>
    <w:rsid w:val="008622E0"/>
    <w:rsid w:val="00862E79"/>
    <w:rsid w:val="00863B07"/>
    <w:rsid w:val="008658B9"/>
    <w:rsid w:val="008713FB"/>
    <w:rsid w:val="00873B0A"/>
    <w:rsid w:val="00874556"/>
    <w:rsid w:val="00874D7A"/>
    <w:rsid w:val="00874F74"/>
    <w:rsid w:val="008774F9"/>
    <w:rsid w:val="00882ACC"/>
    <w:rsid w:val="00882CF6"/>
    <w:rsid w:val="00885D14"/>
    <w:rsid w:val="00892E8B"/>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052B"/>
    <w:rsid w:val="00932BD4"/>
    <w:rsid w:val="0093349B"/>
    <w:rsid w:val="00935361"/>
    <w:rsid w:val="00943DA3"/>
    <w:rsid w:val="00950EF7"/>
    <w:rsid w:val="00952ACA"/>
    <w:rsid w:val="00961A15"/>
    <w:rsid w:val="00962255"/>
    <w:rsid w:val="0096519D"/>
    <w:rsid w:val="00967218"/>
    <w:rsid w:val="009673E0"/>
    <w:rsid w:val="00971CCE"/>
    <w:rsid w:val="00974759"/>
    <w:rsid w:val="00980930"/>
    <w:rsid w:val="00980EBC"/>
    <w:rsid w:val="00983249"/>
    <w:rsid w:val="0098773D"/>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83A"/>
    <w:rsid w:val="00A1056D"/>
    <w:rsid w:val="00A11239"/>
    <w:rsid w:val="00A12623"/>
    <w:rsid w:val="00A27EBD"/>
    <w:rsid w:val="00A312FC"/>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A7F0D"/>
    <w:rsid w:val="00AB35B7"/>
    <w:rsid w:val="00AB35C8"/>
    <w:rsid w:val="00AB69C0"/>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6F8A"/>
    <w:rsid w:val="00B20714"/>
    <w:rsid w:val="00B22F06"/>
    <w:rsid w:val="00B260CD"/>
    <w:rsid w:val="00B31BF6"/>
    <w:rsid w:val="00B321F2"/>
    <w:rsid w:val="00B3490D"/>
    <w:rsid w:val="00B34C7F"/>
    <w:rsid w:val="00B36717"/>
    <w:rsid w:val="00B47362"/>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195B"/>
    <w:rsid w:val="00BB1EAF"/>
    <w:rsid w:val="00BB31B6"/>
    <w:rsid w:val="00BB541C"/>
    <w:rsid w:val="00BB5AF8"/>
    <w:rsid w:val="00BB6CF7"/>
    <w:rsid w:val="00BC0E33"/>
    <w:rsid w:val="00BC105F"/>
    <w:rsid w:val="00BC1550"/>
    <w:rsid w:val="00BC1EF9"/>
    <w:rsid w:val="00BC1FE4"/>
    <w:rsid w:val="00BC3612"/>
    <w:rsid w:val="00BC4B47"/>
    <w:rsid w:val="00BC52E3"/>
    <w:rsid w:val="00BD2127"/>
    <w:rsid w:val="00BD2D33"/>
    <w:rsid w:val="00BD4F33"/>
    <w:rsid w:val="00BD67BF"/>
    <w:rsid w:val="00BE6A8F"/>
    <w:rsid w:val="00BF1464"/>
    <w:rsid w:val="00BF1764"/>
    <w:rsid w:val="00BF34A7"/>
    <w:rsid w:val="00BF4854"/>
    <w:rsid w:val="00C00DBB"/>
    <w:rsid w:val="00C04AFC"/>
    <w:rsid w:val="00C06841"/>
    <w:rsid w:val="00C06D18"/>
    <w:rsid w:val="00C11C88"/>
    <w:rsid w:val="00C21300"/>
    <w:rsid w:val="00C25C4D"/>
    <w:rsid w:val="00C33EFD"/>
    <w:rsid w:val="00C343F1"/>
    <w:rsid w:val="00C35155"/>
    <w:rsid w:val="00C373C4"/>
    <w:rsid w:val="00C3798D"/>
    <w:rsid w:val="00C410A1"/>
    <w:rsid w:val="00C419DC"/>
    <w:rsid w:val="00C420F0"/>
    <w:rsid w:val="00C428BE"/>
    <w:rsid w:val="00C44069"/>
    <w:rsid w:val="00C527CB"/>
    <w:rsid w:val="00C547D8"/>
    <w:rsid w:val="00C54C00"/>
    <w:rsid w:val="00C57B3D"/>
    <w:rsid w:val="00C63D70"/>
    <w:rsid w:val="00C64FF1"/>
    <w:rsid w:val="00C758EB"/>
    <w:rsid w:val="00C86E67"/>
    <w:rsid w:val="00C907A8"/>
    <w:rsid w:val="00C90AB0"/>
    <w:rsid w:val="00C91B79"/>
    <w:rsid w:val="00C94482"/>
    <w:rsid w:val="00C946BF"/>
    <w:rsid w:val="00C94AB1"/>
    <w:rsid w:val="00CA0219"/>
    <w:rsid w:val="00CA04D7"/>
    <w:rsid w:val="00CA3F43"/>
    <w:rsid w:val="00CA5AEB"/>
    <w:rsid w:val="00CB0B19"/>
    <w:rsid w:val="00CB5347"/>
    <w:rsid w:val="00CB55B3"/>
    <w:rsid w:val="00CB5B3A"/>
    <w:rsid w:val="00CB70C0"/>
    <w:rsid w:val="00CB7965"/>
    <w:rsid w:val="00CC003F"/>
    <w:rsid w:val="00CC3E7F"/>
    <w:rsid w:val="00CC4824"/>
    <w:rsid w:val="00CC5B88"/>
    <w:rsid w:val="00CC6A5E"/>
    <w:rsid w:val="00CC76EA"/>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05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49CB"/>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6CD0"/>
    <w:rsid w:val="00E976E1"/>
    <w:rsid w:val="00EA18EA"/>
    <w:rsid w:val="00EA5505"/>
    <w:rsid w:val="00EA7A9F"/>
    <w:rsid w:val="00EB049B"/>
    <w:rsid w:val="00EC4921"/>
    <w:rsid w:val="00EC6CA5"/>
    <w:rsid w:val="00EC73CC"/>
    <w:rsid w:val="00ED10C7"/>
    <w:rsid w:val="00ED1E26"/>
    <w:rsid w:val="00ED2DE5"/>
    <w:rsid w:val="00ED4519"/>
    <w:rsid w:val="00ED5472"/>
    <w:rsid w:val="00ED7638"/>
    <w:rsid w:val="00EE24B3"/>
    <w:rsid w:val="00EE2FC9"/>
    <w:rsid w:val="00EE36F1"/>
    <w:rsid w:val="00EF0AC6"/>
    <w:rsid w:val="00EF0FDD"/>
    <w:rsid w:val="00EF3E40"/>
    <w:rsid w:val="00EF51EB"/>
    <w:rsid w:val="00EF61EF"/>
    <w:rsid w:val="00F01993"/>
    <w:rsid w:val="00F0420B"/>
    <w:rsid w:val="00F20CE1"/>
    <w:rsid w:val="00F21982"/>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EA2"/>
    <w:rsid w:val="00F65928"/>
    <w:rsid w:val="00F755DC"/>
    <w:rsid w:val="00F77E02"/>
    <w:rsid w:val="00F80177"/>
    <w:rsid w:val="00F810A9"/>
    <w:rsid w:val="00F81645"/>
    <w:rsid w:val="00F847B3"/>
    <w:rsid w:val="00F8490A"/>
    <w:rsid w:val="00F861CD"/>
    <w:rsid w:val="00F9452D"/>
    <w:rsid w:val="00F946AD"/>
    <w:rsid w:val="00F9648A"/>
    <w:rsid w:val="00FA53C3"/>
    <w:rsid w:val="00FA7B4D"/>
    <w:rsid w:val="00FB3AA7"/>
    <w:rsid w:val="00FB50CE"/>
    <w:rsid w:val="00FB61FC"/>
    <w:rsid w:val="00FB65A3"/>
    <w:rsid w:val="00FB71E2"/>
    <w:rsid w:val="00FC191B"/>
    <w:rsid w:val="00FC1CA2"/>
    <w:rsid w:val="00FC7F0F"/>
    <w:rsid w:val="00FE38F5"/>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AE1E-D0C5-4B18-81ED-693894D0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17210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4</cp:revision>
  <cp:lastPrinted>2018-01-29T10:31:00Z</cp:lastPrinted>
  <dcterms:created xsi:type="dcterms:W3CDTF">2018-03-26T11:10:00Z</dcterms:created>
  <dcterms:modified xsi:type="dcterms:W3CDTF">2018-03-26T13:04:00Z</dcterms:modified>
</cp:coreProperties>
</file>