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6C559372"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482216">
        <w:rPr>
          <w:rFonts w:cs="Calibri"/>
          <w:b/>
          <w:sz w:val="28"/>
          <w:szCs w:val="20"/>
        </w:rPr>
        <w:t>7</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1EC38F03"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r w:rsidR="00787D75" w:rsidRPr="00A33369">
        <w:rPr>
          <w:rFonts w:cs="Calibri"/>
          <w:bCs/>
          <w:szCs w:val="20"/>
        </w:rPr>
        <w:tab/>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42EF3677" w:rsidR="00F81645" w:rsidRPr="001F69C3" w:rsidRDefault="00D52336" w:rsidP="00570093">
      <w:pPr>
        <w:jc w:val="both"/>
        <w:rPr>
          <w:rFonts w:cs="Calibri"/>
          <w:sz w:val="20"/>
          <w:szCs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001F69C3">
        <w:rPr>
          <w:rFonts w:cs="Calibri"/>
          <w:sz w:val="20"/>
          <w:szCs w:val="20"/>
        </w:rPr>
        <w:t xml:space="preserve">řízení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56024A">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482216">
        <w:rPr>
          <w:rFonts w:cs="Calibri"/>
          <w:sz w:val="20"/>
          <w:szCs w:val="20"/>
        </w:rPr>
        <w:t>7</w:t>
      </w:r>
      <w:r w:rsidR="00C00DBB" w:rsidRPr="001F69C3">
        <w:rPr>
          <w:rFonts w:cs="Calibri"/>
          <w:sz w:val="20"/>
          <w:szCs w:val="20"/>
        </w:rPr>
        <w:t xml:space="preserve"> </w:t>
      </w:r>
      <w:r w:rsidR="00482216" w:rsidRPr="001F69C3">
        <w:rPr>
          <w:rFonts w:cs="Calibri"/>
          <w:sz w:val="20"/>
          <w:szCs w:val="20"/>
        </w:rPr>
        <w:t>Dodávka</w:t>
      </w:r>
      <w:proofErr w:type="gramEnd"/>
      <w:r w:rsidR="005462D7" w:rsidRPr="001F69C3">
        <w:rPr>
          <w:rFonts w:cs="Calibri"/>
          <w:sz w:val="20"/>
          <w:szCs w:val="20"/>
        </w:rPr>
        <w:t xml:space="preserve"> a instalace</w:t>
      </w:r>
      <w:r w:rsidR="00482216" w:rsidRPr="001F69C3">
        <w:rPr>
          <w:rFonts w:cs="Calibri"/>
          <w:sz w:val="20"/>
          <w:szCs w:val="20"/>
        </w:rPr>
        <w:t xml:space="preserve"> datových spojů pro</w:t>
      </w:r>
      <w:r w:rsidR="00F93812">
        <w:rPr>
          <w:rFonts w:cs="Calibri"/>
          <w:sz w:val="20"/>
          <w:szCs w:val="20"/>
        </w:rPr>
        <w:t xml:space="preserve"> síť</w:t>
      </w:r>
      <w:bookmarkStart w:id="0" w:name="_GoBack"/>
      <w:bookmarkEnd w:id="0"/>
      <w:r w:rsidR="00482216" w:rsidRPr="001F69C3">
        <w:rPr>
          <w:rFonts w:cs="Calibri"/>
          <w:sz w:val="20"/>
          <w:szCs w:val="20"/>
        </w:rPr>
        <w:t xml:space="preserve"> WEBNET</w:t>
      </w:r>
      <w:r w:rsidR="0056024A">
        <w:rPr>
          <w:rFonts w:cs="Calibri"/>
          <w:sz w:val="20"/>
          <w:szCs w:val="20"/>
        </w:rPr>
        <w:t xml:space="preserve"> II</w:t>
      </w:r>
      <w:r w:rsidR="00B3490D" w:rsidRPr="001F69C3">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58727F58" w:rsidR="009E43ED" w:rsidRPr="001F69C3" w:rsidRDefault="008138BA" w:rsidP="000A1C9C">
      <w:pPr>
        <w:pStyle w:val="PODKAPITOLA"/>
        <w:jc w:val="both"/>
        <w:rPr>
          <w:rFonts w:asciiTheme="minorHAnsi" w:eastAsia="Calibri" w:hAnsiTheme="minorHAnsi" w:cstheme="minorHAnsi"/>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482216" w:rsidRPr="001F69C3">
        <w:rPr>
          <w:rFonts w:asciiTheme="minorHAnsi" w:eastAsia="Calibri" w:hAnsiTheme="minorHAnsi" w:cstheme="minorHAnsi"/>
          <w:bCs w:val="0"/>
          <w:color w:val="auto"/>
          <w:shd w:val="clear" w:color="auto" w:fill="auto"/>
        </w:rPr>
        <w:t xml:space="preserve">Dodávka </w:t>
      </w:r>
      <w:r w:rsidR="008F2D7B">
        <w:rPr>
          <w:rFonts w:asciiTheme="minorHAnsi" w:eastAsia="Calibri" w:hAnsiTheme="minorHAnsi" w:cstheme="minorHAnsi"/>
          <w:bCs w:val="0"/>
          <w:color w:val="auto"/>
          <w:shd w:val="clear" w:color="auto" w:fill="auto"/>
        </w:rPr>
        <w:br/>
      </w:r>
      <w:r w:rsidR="005462D7" w:rsidRPr="001F69C3">
        <w:rPr>
          <w:rFonts w:asciiTheme="minorHAnsi" w:eastAsia="Calibri" w:hAnsiTheme="minorHAnsi" w:cstheme="minorHAnsi"/>
          <w:bCs w:val="0"/>
          <w:color w:val="auto"/>
          <w:shd w:val="clear" w:color="auto" w:fill="auto"/>
        </w:rPr>
        <w:t xml:space="preserve">a instalace </w:t>
      </w:r>
      <w:r w:rsidR="00482216" w:rsidRPr="001F69C3">
        <w:rPr>
          <w:rFonts w:asciiTheme="minorHAnsi" w:eastAsia="Calibri" w:hAnsiTheme="minorHAnsi" w:cstheme="minorHAnsi"/>
          <w:bCs w:val="0"/>
          <w:color w:val="auto"/>
          <w:shd w:val="clear" w:color="auto" w:fill="auto"/>
        </w:rPr>
        <w:t>datových spojů pro</w:t>
      </w:r>
      <w:r w:rsidR="00C060F7">
        <w:rPr>
          <w:rFonts w:asciiTheme="minorHAnsi" w:eastAsia="Calibri" w:hAnsiTheme="minorHAnsi" w:cstheme="minorHAnsi"/>
          <w:bCs w:val="0"/>
          <w:color w:val="auto"/>
          <w:shd w:val="clear" w:color="auto" w:fill="auto"/>
        </w:rPr>
        <w:t xml:space="preserve"> síť</w:t>
      </w:r>
      <w:r w:rsidR="00482216" w:rsidRPr="001F69C3">
        <w:rPr>
          <w:rFonts w:asciiTheme="minorHAnsi" w:eastAsia="Calibri" w:hAnsiTheme="minorHAnsi" w:cstheme="minorHAnsi"/>
          <w:bCs w:val="0"/>
          <w:color w:val="auto"/>
          <w:shd w:val="clear" w:color="auto" w:fill="auto"/>
        </w:rPr>
        <w:t xml:space="preserve"> WEBNET</w:t>
      </w:r>
      <w:r w:rsidR="0056024A">
        <w:rPr>
          <w:rFonts w:asciiTheme="minorHAnsi" w:eastAsia="Calibri" w:hAnsiTheme="minorHAnsi" w:cstheme="minorHAnsi"/>
          <w:bCs w:val="0"/>
          <w:color w:val="auto"/>
          <w:shd w:val="clear" w:color="auto" w:fill="auto"/>
        </w:rPr>
        <w:t xml:space="preserve"> II</w:t>
      </w:r>
      <w:r w:rsidR="00C13EC9">
        <w:rPr>
          <w:rFonts w:asciiTheme="minorHAnsi" w:eastAsia="Calibri" w:hAnsiTheme="minorHAnsi" w:cstheme="minorHAnsi"/>
          <w:bCs w:val="0"/>
          <w:color w:val="auto"/>
          <w:shd w:val="clear" w:color="auto" w:fill="auto"/>
        </w:rPr>
        <w:t xml:space="preserve"> </w:t>
      </w:r>
      <w:r w:rsidR="00C13EC9" w:rsidRPr="008F2D7B">
        <w:rPr>
          <w:rFonts w:asciiTheme="minorHAnsi" w:eastAsia="Calibri" w:hAnsiTheme="minorHAnsi" w:cstheme="minorHAnsi"/>
          <w:b w:val="0"/>
          <w:bCs w:val="0"/>
          <w:color w:val="auto"/>
          <w:shd w:val="clear" w:color="auto" w:fill="auto"/>
        </w:rPr>
        <w:t>(dále jen „zboží“)</w:t>
      </w:r>
      <w:r w:rsidR="00F81645" w:rsidRPr="008F2D7B">
        <w:rPr>
          <w:rFonts w:asciiTheme="minorHAnsi" w:eastAsia="Calibri" w:hAnsiTheme="minorHAnsi" w:cstheme="minorHAnsi"/>
          <w:b w:val="0"/>
          <w:bCs w:val="0"/>
          <w:color w:val="auto"/>
          <w:shd w:val="clear" w:color="auto" w:fill="auto"/>
        </w:rPr>
        <w:t>.</w:t>
      </w:r>
      <w:r w:rsidR="009E43ED" w:rsidRPr="008F2D7B">
        <w:rPr>
          <w:rFonts w:asciiTheme="minorHAnsi" w:eastAsia="Calibri" w:hAnsiTheme="minorHAnsi" w:cstheme="minorHAnsi"/>
          <w:b w:val="0"/>
          <w:bCs w:val="0"/>
          <w:color w:val="auto"/>
          <w:shd w:val="clear" w:color="auto" w:fill="auto"/>
        </w:rPr>
        <w:t xml:space="preserve"> </w:t>
      </w:r>
    </w:p>
    <w:p w14:paraId="7B89A4A1" w14:textId="759D5EFC"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 xml:space="preserve">Bližší specifikace </w:t>
      </w:r>
      <w:r w:rsidR="00C13EC9">
        <w:rPr>
          <w:rFonts w:asciiTheme="minorHAnsi" w:eastAsia="Calibri" w:hAnsiTheme="minorHAnsi" w:cstheme="minorHAnsi"/>
          <w:b w:val="0"/>
          <w:bCs w:val="0"/>
          <w:color w:val="auto"/>
          <w:shd w:val="clear" w:color="auto" w:fill="auto"/>
        </w:rPr>
        <w:t xml:space="preserve">zboží </w:t>
      </w:r>
      <w:r w:rsidRPr="009E43ED">
        <w:rPr>
          <w:rFonts w:asciiTheme="minorHAnsi" w:eastAsia="Calibri" w:hAnsiTheme="minorHAnsi" w:cstheme="minorHAnsi"/>
          <w:b w:val="0"/>
          <w:bCs w:val="0"/>
          <w:color w:val="auto"/>
          <w:shd w:val="clear" w:color="auto" w:fill="auto"/>
        </w:rPr>
        <w:t>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0DE5D873" w:rsidR="00A84FC8" w:rsidRDefault="00A84FC8" w:rsidP="006B33FC">
      <w:pPr>
        <w:autoSpaceDE w:val="0"/>
        <w:autoSpaceDN w:val="0"/>
        <w:adjustRightInd w:val="0"/>
        <w:spacing w:after="60" w:line="276" w:lineRule="auto"/>
        <w:ind w:left="709" w:hanging="709"/>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8F2D7B">
        <w:rPr>
          <w:rFonts w:asciiTheme="minorHAnsi" w:hAnsiTheme="minorHAnsi" w:cstheme="minorHAnsi"/>
          <w:sz w:val="20"/>
          <w:szCs w:val="20"/>
        </w:rPr>
        <w:t xml:space="preserve">Doba plnění veřejné zakázky pro </w:t>
      </w:r>
      <w:r w:rsidR="00482216" w:rsidRPr="008F2D7B">
        <w:rPr>
          <w:rFonts w:asciiTheme="minorHAnsi" w:hAnsiTheme="minorHAnsi" w:cstheme="minorHAnsi"/>
          <w:sz w:val="20"/>
          <w:szCs w:val="20"/>
        </w:rPr>
        <w:t>7</w:t>
      </w:r>
      <w:r w:rsidR="00C00DBB" w:rsidRPr="00734170">
        <w:rPr>
          <w:rFonts w:asciiTheme="minorHAnsi" w:hAnsiTheme="minorHAnsi" w:cstheme="minorHAnsi"/>
          <w:sz w:val="20"/>
          <w:szCs w:val="20"/>
        </w:rPr>
        <w:t>.</w:t>
      </w:r>
      <w:r w:rsidR="00C75724">
        <w:rPr>
          <w:rFonts w:asciiTheme="minorHAnsi" w:hAnsiTheme="minorHAnsi" w:cstheme="minorHAnsi"/>
          <w:sz w:val="20"/>
          <w:szCs w:val="20"/>
        </w:rPr>
        <w:t xml:space="preserve"> </w:t>
      </w:r>
      <w:r w:rsidR="00C00DBB" w:rsidRPr="00734170">
        <w:rPr>
          <w:rFonts w:asciiTheme="minorHAnsi" w:hAnsiTheme="minorHAnsi" w:cstheme="minorHAnsi"/>
          <w:sz w:val="20"/>
          <w:szCs w:val="20"/>
        </w:rPr>
        <w:t>část veřejné zakázky</w:t>
      </w:r>
      <w:r w:rsidR="00F81645" w:rsidRPr="00734170">
        <w:rPr>
          <w:rFonts w:asciiTheme="minorHAnsi" w:hAnsiTheme="minorHAnsi" w:cstheme="minorHAnsi"/>
          <w:sz w:val="20"/>
          <w:szCs w:val="20"/>
        </w:rPr>
        <w:t xml:space="preserve"> s názvem </w:t>
      </w:r>
      <w:r w:rsidR="00482216" w:rsidRPr="00734170">
        <w:rPr>
          <w:rFonts w:asciiTheme="minorHAnsi" w:hAnsiTheme="minorHAnsi" w:cstheme="minorHAnsi"/>
          <w:sz w:val="20"/>
          <w:szCs w:val="20"/>
        </w:rPr>
        <w:t>Dodávka</w:t>
      </w:r>
      <w:r w:rsidR="002525B9" w:rsidRPr="00734170">
        <w:rPr>
          <w:rFonts w:asciiTheme="minorHAnsi" w:hAnsiTheme="minorHAnsi" w:cstheme="minorHAnsi"/>
          <w:sz w:val="20"/>
          <w:szCs w:val="20"/>
        </w:rPr>
        <w:t xml:space="preserve"> a instalace</w:t>
      </w:r>
      <w:r w:rsidR="00482216" w:rsidRPr="008F2D7B">
        <w:rPr>
          <w:rFonts w:asciiTheme="minorHAnsi" w:hAnsiTheme="minorHAnsi" w:cstheme="minorHAnsi"/>
          <w:sz w:val="20"/>
          <w:szCs w:val="20"/>
        </w:rPr>
        <w:t xml:space="preserve"> datových spojů</w:t>
      </w:r>
      <w:r w:rsidR="008F2D7B" w:rsidRPr="008F2D7B">
        <w:rPr>
          <w:rFonts w:asciiTheme="minorHAnsi" w:hAnsiTheme="minorHAnsi" w:cstheme="minorHAnsi"/>
          <w:sz w:val="20"/>
          <w:szCs w:val="20"/>
        </w:rPr>
        <w:br/>
      </w:r>
      <w:r w:rsidR="00482216" w:rsidRPr="008F2D7B">
        <w:rPr>
          <w:rFonts w:asciiTheme="minorHAnsi" w:hAnsiTheme="minorHAnsi" w:cstheme="minorHAnsi"/>
          <w:sz w:val="20"/>
          <w:szCs w:val="20"/>
        </w:rPr>
        <w:t xml:space="preserve">pro </w:t>
      </w:r>
      <w:r w:rsidR="00C060F7">
        <w:rPr>
          <w:rFonts w:asciiTheme="minorHAnsi" w:hAnsiTheme="minorHAnsi" w:cstheme="minorHAnsi"/>
          <w:sz w:val="20"/>
          <w:szCs w:val="20"/>
        </w:rPr>
        <w:t xml:space="preserve">síť </w:t>
      </w:r>
      <w:r w:rsidR="00482216" w:rsidRPr="008F2D7B">
        <w:rPr>
          <w:rFonts w:asciiTheme="minorHAnsi" w:hAnsiTheme="minorHAnsi" w:cstheme="minorHAnsi"/>
          <w:sz w:val="20"/>
          <w:szCs w:val="20"/>
        </w:rPr>
        <w:t>WEBNET</w:t>
      </w:r>
      <w:r w:rsidR="0056024A" w:rsidRPr="008F2D7B">
        <w:rPr>
          <w:rFonts w:asciiTheme="minorHAnsi" w:hAnsiTheme="minorHAnsi" w:cstheme="minorHAnsi"/>
          <w:sz w:val="20"/>
          <w:szCs w:val="20"/>
        </w:rPr>
        <w:t xml:space="preserve"> II</w:t>
      </w:r>
      <w:r w:rsidR="00570093" w:rsidRPr="008F2D7B">
        <w:rPr>
          <w:rFonts w:asciiTheme="minorHAnsi" w:hAnsiTheme="minorHAnsi" w:cstheme="minorHAnsi"/>
          <w:sz w:val="20"/>
          <w:szCs w:val="20"/>
        </w:rPr>
        <w:t>:</w:t>
      </w:r>
      <w:r w:rsidR="00570093" w:rsidRPr="00570093">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325E75">
        <w:rPr>
          <w:rFonts w:asciiTheme="minorHAnsi" w:hAnsiTheme="minorHAnsi" w:cstheme="minorHAnsi"/>
          <w:sz w:val="20"/>
          <w:szCs w:val="20"/>
        </w:rPr>
        <w:t>2</w:t>
      </w:r>
      <w:r w:rsidR="00C00DBB">
        <w:rPr>
          <w:rFonts w:asciiTheme="minorHAnsi" w:hAnsiTheme="minorHAnsi" w:cstheme="minorHAnsi"/>
          <w:sz w:val="20"/>
          <w:szCs w:val="20"/>
        </w:rPr>
        <w:t xml:space="preserve"> měsíců od podpisu smlouvy</w:t>
      </w:r>
    </w:p>
    <w:p w14:paraId="705E2E9F" w14:textId="673E7CFA" w:rsidR="00325E75" w:rsidRDefault="00A84FC8" w:rsidP="00325E75">
      <w:pPr>
        <w:autoSpaceDE w:val="0"/>
        <w:autoSpaceDN w:val="0"/>
        <w:adjustRightInd w:val="0"/>
        <w:spacing w:after="60" w:line="276" w:lineRule="auto"/>
        <w:ind w:left="708" w:hanging="708"/>
        <w:jc w:val="both"/>
        <w:rPr>
          <w:rFonts w:asciiTheme="minorHAnsi" w:hAnsiTheme="minorHAnsi" w:cstheme="minorHAnsi"/>
          <w:b/>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325E75">
        <w:rPr>
          <w:rFonts w:asciiTheme="minorHAnsi" w:hAnsiTheme="minorHAnsi" w:cstheme="minorHAnsi"/>
          <w:b/>
          <w:sz w:val="20"/>
          <w:szCs w:val="20"/>
        </w:rPr>
        <w:t>K předání a převzetí zboží dojde po řádné</w:t>
      </w:r>
      <w:r w:rsidR="00DD1D6B">
        <w:rPr>
          <w:rFonts w:asciiTheme="minorHAnsi" w:hAnsiTheme="minorHAnsi" w:cstheme="minorHAnsi"/>
          <w:b/>
          <w:sz w:val="20"/>
          <w:szCs w:val="20"/>
        </w:rPr>
        <w:t>m dodání,</w:t>
      </w:r>
      <w:r w:rsidR="00325E75">
        <w:rPr>
          <w:rFonts w:asciiTheme="minorHAnsi" w:hAnsiTheme="minorHAnsi" w:cstheme="minorHAnsi"/>
          <w:b/>
          <w:sz w:val="20"/>
          <w:szCs w:val="20"/>
        </w:rPr>
        <w:t xml:space="preserve"> instalaci a zprovoznění datových spojů prodávajícím</w:t>
      </w:r>
      <w:r w:rsidR="00DD1D6B">
        <w:rPr>
          <w:rFonts w:asciiTheme="minorHAnsi" w:hAnsiTheme="minorHAnsi" w:cstheme="minorHAnsi"/>
          <w:b/>
          <w:sz w:val="20"/>
          <w:szCs w:val="20"/>
        </w:rPr>
        <w:t xml:space="preserve"> v místech plnění dle bodu </w:t>
      </w:r>
      <w:proofErr w:type="gramStart"/>
      <w:r w:rsidR="00DD1D6B">
        <w:rPr>
          <w:rFonts w:asciiTheme="minorHAnsi" w:hAnsiTheme="minorHAnsi" w:cstheme="minorHAnsi"/>
          <w:b/>
          <w:sz w:val="20"/>
          <w:szCs w:val="20"/>
        </w:rPr>
        <w:t>3.4. této</w:t>
      </w:r>
      <w:proofErr w:type="gramEnd"/>
      <w:r w:rsidR="00DD1D6B">
        <w:rPr>
          <w:rFonts w:asciiTheme="minorHAnsi" w:hAnsiTheme="minorHAnsi" w:cstheme="minorHAnsi"/>
          <w:b/>
          <w:sz w:val="20"/>
          <w:szCs w:val="20"/>
        </w:rPr>
        <w:t xml:space="preserve"> smlouvy.</w:t>
      </w:r>
    </w:p>
    <w:p w14:paraId="04B641C0" w14:textId="5C1E63A0" w:rsidR="00AB35B7" w:rsidRPr="00325E75" w:rsidRDefault="00325E75" w:rsidP="000204C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Pr>
          <w:rFonts w:asciiTheme="minorHAnsi" w:hAnsiTheme="minorHAnsi" w:cstheme="minorHAnsi"/>
          <w:b/>
          <w:sz w:val="20"/>
          <w:szCs w:val="20"/>
        </w:rPr>
        <w:tab/>
      </w:r>
      <w:r w:rsidR="00570093" w:rsidRPr="00325E75">
        <w:rPr>
          <w:rFonts w:asciiTheme="minorHAnsi" w:hAnsiTheme="minorHAnsi" w:cstheme="minorHAnsi"/>
          <w:sz w:val="20"/>
          <w:szCs w:val="20"/>
        </w:rPr>
        <w:t>O p</w:t>
      </w:r>
      <w:r w:rsidR="00D52336" w:rsidRPr="00325E75">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E64845">
        <w:rPr>
          <w:rFonts w:asciiTheme="minorHAnsi" w:hAnsiTheme="minorHAnsi" w:cstheme="minorHAnsi"/>
          <w:sz w:val="20"/>
          <w:szCs w:val="20"/>
        </w:rPr>
        <w:t>, tj. po instalaci a zprovoznění datových spojů.</w:t>
      </w:r>
    </w:p>
    <w:p w14:paraId="5F050F1B" w14:textId="10683E26" w:rsidR="00D52336"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3.</w:t>
      </w:r>
      <w:r w:rsidR="00325E75">
        <w:rPr>
          <w:rFonts w:asciiTheme="minorHAnsi" w:hAnsiTheme="minorHAnsi" w:cstheme="minorHAnsi"/>
          <w:b/>
          <w:sz w:val="20"/>
          <w:szCs w:val="20"/>
        </w:rPr>
        <w:t>4</w:t>
      </w:r>
      <w:r w:rsidRPr="007A7AFA">
        <w:rPr>
          <w:rFonts w:asciiTheme="minorHAnsi" w:hAnsiTheme="minorHAnsi" w:cstheme="minorHAnsi"/>
          <w:b/>
          <w:sz w:val="20"/>
          <w:szCs w:val="20"/>
        </w:rPr>
        <w:t xml:space="preserve">.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Míst</w:t>
      </w:r>
      <w:r w:rsidR="00482216">
        <w:rPr>
          <w:rFonts w:asciiTheme="minorHAnsi" w:hAnsiTheme="minorHAnsi" w:cstheme="minorHAnsi"/>
          <w:sz w:val="20"/>
          <w:szCs w:val="20"/>
        </w:rPr>
        <w:t>a</w:t>
      </w:r>
      <w:r w:rsidR="00570093" w:rsidRPr="00570093">
        <w:rPr>
          <w:rFonts w:asciiTheme="minorHAnsi" w:hAnsiTheme="minorHAnsi" w:cstheme="minorHAnsi"/>
          <w:sz w:val="20"/>
          <w:szCs w:val="20"/>
        </w:rPr>
        <w:t xml:space="preserve"> plnění pro </w:t>
      </w:r>
      <w:r w:rsidR="00482216">
        <w:rPr>
          <w:rFonts w:asciiTheme="minorHAnsi" w:hAnsiTheme="minorHAnsi" w:cstheme="minorHAnsi"/>
          <w:sz w:val="20"/>
          <w:szCs w:val="20"/>
        </w:rPr>
        <w:t>7</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w:t>
      </w:r>
      <w:r w:rsidR="00482216">
        <w:rPr>
          <w:rFonts w:asciiTheme="minorHAnsi" w:hAnsiTheme="minorHAnsi" w:cstheme="minorHAnsi"/>
          <w:sz w:val="20"/>
          <w:szCs w:val="20"/>
        </w:rPr>
        <w:t>jsou následující:</w:t>
      </w:r>
    </w:p>
    <w:tbl>
      <w:tblPr>
        <w:tblW w:w="0" w:type="auto"/>
        <w:tblInd w:w="70" w:type="dxa"/>
        <w:tblLayout w:type="fixed"/>
        <w:tblCellMar>
          <w:left w:w="70" w:type="dxa"/>
          <w:right w:w="70" w:type="dxa"/>
        </w:tblCellMar>
        <w:tblLook w:val="0000" w:firstRow="0" w:lastRow="0" w:firstColumn="0" w:lastColumn="0" w:noHBand="0" w:noVBand="0"/>
      </w:tblPr>
      <w:tblGrid>
        <w:gridCol w:w="3240"/>
        <w:gridCol w:w="3240"/>
        <w:gridCol w:w="3360"/>
      </w:tblGrid>
      <w:tr w:rsidR="00482216" w14:paraId="03E5CCBD" w14:textId="77777777" w:rsidTr="00C96A92">
        <w:trPr>
          <w:trHeight w:val="315"/>
        </w:trPr>
        <w:tc>
          <w:tcPr>
            <w:tcW w:w="3240" w:type="dxa"/>
            <w:tcBorders>
              <w:top w:val="single" w:sz="8" w:space="0" w:color="000080"/>
              <w:left w:val="single" w:sz="8" w:space="0" w:color="000080"/>
              <w:bottom w:val="single" w:sz="8" w:space="0" w:color="000080"/>
            </w:tcBorders>
            <w:shd w:val="clear" w:color="auto" w:fill="D9D9D9"/>
            <w:vAlign w:val="bottom"/>
          </w:tcPr>
          <w:p w14:paraId="7A301C77" w14:textId="77777777" w:rsidR="00482216" w:rsidRDefault="00482216" w:rsidP="00C96A92">
            <w:pPr>
              <w:spacing w:after="0"/>
              <w:jc w:val="center"/>
            </w:pPr>
            <w:r>
              <w:rPr>
                <w:rFonts w:eastAsia="Times New Roman" w:cs="Calibri"/>
                <w:b/>
                <w:bCs/>
                <w:color w:val="000000"/>
              </w:rPr>
              <w:t>Lokalita</w:t>
            </w:r>
          </w:p>
        </w:tc>
        <w:tc>
          <w:tcPr>
            <w:tcW w:w="3240" w:type="dxa"/>
            <w:tcBorders>
              <w:top w:val="single" w:sz="8" w:space="0" w:color="000080"/>
              <w:bottom w:val="single" w:sz="8" w:space="0" w:color="000080"/>
            </w:tcBorders>
            <w:shd w:val="clear" w:color="auto" w:fill="D9D9D9"/>
            <w:vAlign w:val="bottom"/>
          </w:tcPr>
          <w:p w14:paraId="22C0F5E5" w14:textId="77777777" w:rsidR="00482216" w:rsidRDefault="00482216" w:rsidP="00C96A92">
            <w:pPr>
              <w:spacing w:after="0"/>
              <w:jc w:val="center"/>
            </w:pPr>
            <w:r>
              <w:rPr>
                <w:rFonts w:eastAsia="Times New Roman" w:cs="Calibri"/>
                <w:b/>
                <w:bCs/>
                <w:color w:val="000000"/>
              </w:rPr>
              <w:t>Zeměpisná šířka</w:t>
            </w:r>
          </w:p>
        </w:tc>
        <w:tc>
          <w:tcPr>
            <w:tcW w:w="3360" w:type="dxa"/>
            <w:tcBorders>
              <w:top w:val="single" w:sz="8" w:space="0" w:color="000080"/>
              <w:bottom w:val="single" w:sz="8" w:space="0" w:color="000080"/>
              <w:right w:val="single" w:sz="8" w:space="0" w:color="000080"/>
            </w:tcBorders>
            <w:shd w:val="clear" w:color="auto" w:fill="D9D9D9"/>
            <w:vAlign w:val="bottom"/>
          </w:tcPr>
          <w:p w14:paraId="5FA624FC" w14:textId="77777777" w:rsidR="00482216" w:rsidRDefault="00482216" w:rsidP="00C96A92">
            <w:pPr>
              <w:spacing w:after="0"/>
              <w:jc w:val="center"/>
            </w:pPr>
            <w:r>
              <w:rPr>
                <w:rFonts w:eastAsia="Times New Roman" w:cs="Calibri"/>
                <w:b/>
                <w:bCs/>
                <w:color w:val="000000"/>
              </w:rPr>
              <w:t>zeměpisná délka</w:t>
            </w:r>
          </w:p>
        </w:tc>
      </w:tr>
      <w:tr w:rsidR="00482216" w14:paraId="526C0748"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21EC256F" w14:textId="77777777" w:rsidR="00482216" w:rsidRDefault="00482216" w:rsidP="00C96A92">
            <w:pPr>
              <w:spacing w:after="0"/>
              <w:jc w:val="center"/>
            </w:pPr>
            <w:r>
              <w:rPr>
                <w:rFonts w:ascii="Times New Roman" w:eastAsia="Times New Roman" w:hAnsi="Times New Roman"/>
                <w:color w:val="000000"/>
              </w:rPr>
              <w:t>Bublava</w:t>
            </w:r>
          </w:p>
        </w:tc>
        <w:tc>
          <w:tcPr>
            <w:tcW w:w="3240" w:type="dxa"/>
            <w:tcBorders>
              <w:left w:val="single" w:sz="4" w:space="0" w:color="000080"/>
              <w:bottom w:val="single" w:sz="4" w:space="0" w:color="000080"/>
            </w:tcBorders>
            <w:shd w:val="clear" w:color="auto" w:fill="FFFFFF"/>
            <w:vAlign w:val="center"/>
          </w:tcPr>
          <w:p w14:paraId="7B64E4B1" w14:textId="77777777" w:rsidR="00482216" w:rsidRDefault="00482216" w:rsidP="00C96A92">
            <w:pPr>
              <w:spacing w:after="0"/>
              <w:jc w:val="center"/>
            </w:pPr>
            <w:r>
              <w:rPr>
                <w:rFonts w:ascii="Times New Roman" w:eastAsia="Times New Roman" w:hAnsi="Times New Roman"/>
                <w:color w:val="000000"/>
              </w:rPr>
              <w:t>50.381739</w:t>
            </w:r>
          </w:p>
        </w:tc>
        <w:tc>
          <w:tcPr>
            <w:tcW w:w="3360" w:type="dxa"/>
            <w:tcBorders>
              <w:left w:val="single" w:sz="4" w:space="0" w:color="000080"/>
              <w:bottom w:val="single" w:sz="4" w:space="0" w:color="000080"/>
              <w:right w:val="single" w:sz="8" w:space="0" w:color="000080"/>
            </w:tcBorders>
            <w:shd w:val="clear" w:color="auto" w:fill="FFFFFF"/>
            <w:vAlign w:val="center"/>
          </w:tcPr>
          <w:p w14:paraId="68A6648B" w14:textId="77777777" w:rsidR="00482216" w:rsidRDefault="00482216" w:rsidP="00C96A92">
            <w:pPr>
              <w:spacing w:after="0"/>
              <w:jc w:val="center"/>
            </w:pPr>
            <w:r>
              <w:rPr>
                <w:rFonts w:ascii="Times New Roman" w:eastAsia="Times New Roman" w:hAnsi="Times New Roman"/>
                <w:color w:val="000000"/>
              </w:rPr>
              <w:t>12.513619</w:t>
            </w:r>
          </w:p>
        </w:tc>
      </w:tr>
      <w:tr w:rsidR="00482216" w14:paraId="1AAA5744"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15602662" w14:textId="77777777" w:rsidR="00482216" w:rsidRDefault="00482216" w:rsidP="00C96A92">
            <w:pPr>
              <w:spacing w:after="0"/>
              <w:jc w:val="center"/>
            </w:pPr>
            <w:r>
              <w:rPr>
                <w:rFonts w:ascii="Times New Roman" w:eastAsia="Times New Roman" w:hAnsi="Times New Roman"/>
                <w:color w:val="000000"/>
              </w:rPr>
              <w:t>Sněžná</w:t>
            </w:r>
          </w:p>
        </w:tc>
        <w:tc>
          <w:tcPr>
            <w:tcW w:w="3240" w:type="dxa"/>
            <w:tcBorders>
              <w:left w:val="single" w:sz="4" w:space="0" w:color="000080"/>
              <w:bottom w:val="single" w:sz="4" w:space="0" w:color="000080"/>
            </w:tcBorders>
            <w:shd w:val="clear" w:color="auto" w:fill="FFFFFF"/>
            <w:vAlign w:val="center"/>
          </w:tcPr>
          <w:p w14:paraId="24AD2D2F" w14:textId="77777777" w:rsidR="00482216" w:rsidRDefault="00482216" w:rsidP="00C96A92">
            <w:pPr>
              <w:spacing w:after="0"/>
              <w:jc w:val="center"/>
            </w:pPr>
            <w:r>
              <w:rPr>
                <w:rFonts w:ascii="Times New Roman" w:eastAsia="Times New Roman" w:hAnsi="Times New Roman"/>
                <w:color w:val="000000"/>
              </w:rPr>
              <w:t>50.310878</w:t>
            </w:r>
          </w:p>
        </w:tc>
        <w:tc>
          <w:tcPr>
            <w:tcW w:w="3360" w:type="dxa"/>
            <w:tcBorders>
              <w:left w:val="single" w:sz="4" w:space="0" w:color="000080"/>
              <w:bottom w:val="single" w:sz="4" w:space="0" w:color="000080"/>
              <w:right w:val="single" w:sz="8" w:space="0" w:color="000080"/>
            </w:tcBorders>
            <w:shd w:val="clear" w:color="auto" w:fill="FFFFFF"/>
            <w:vAlign w:val="center"/>
          </w:tcPr>
          <w:p w14:paraId="22AB24AA" w14:textId="77777777" w:rsidR="00482216" w:rsidRDefault="00482216" w:rsidP="00C96A92">
            <w:pPr>
              <w:spacing w:after="0"/>
              <w:jc w:val="center"/>
            </w:pPr>
            <w:r>
              <w:rPr>
                <w:rFonts w:ascii="Times New Roman" w:eastAsia="Times New Roman" w:hAnsi="Times New Roman"/>
                <w:color w:val="000000"/>
              </w:rPr>
              <w:t>12.501314</w:t>
            </w:r>
          </w:p>
        </w:tc>
      </w:tr>
      <w:tr w:rsidR="00482216" w14:paraId="67CA0B51"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13E28673" w14:textId="77777777" w:rsidR="00482216" w:rsidRDefault="00482216" w:rsidP="00C96A92">
            <w:pPr>
              <w:spacing w:after="0"/>
              <w:jc w:val="center"/>
            </w:pPr>
            <w:r>
              <w:rPr>
                <w:rFonts w:ascii="Times New Roman" w:eastAsia="Times New Roman" w:hAnsi="Times New Roman"/>
                <w:color w:val="000000"/>
              </w:rPr>
              <w:t>Loučná</w:t>
            </w:r>
          </w:p>
        </w:tc>
        <w:tc>
          <w:tcPr>
            <w:tcW w:w="3240" w:type="dxa"/>
            <w:tcBorders>
              <w:left w:val="single" w:sz="4" w:space="0" w:color="000080"/>
              <w:bottom w:val="single" w:sz="4" w:space="0" w:color="000080"/>
            </w:tcBorders>
            <w:shd w:val="clear" w:color="auto" w:fill="FFFFFF"/>
            <w:vAlign w:val="center"/>
          </w:tcPr>
          <w:p w14:paraId="744CACD6" w14:textId="77777777" w:rsidR="00482216" w:rsidRDefault="00482216" w:rsidP="00C96A92">
            <w:pPr>
              <w:spacing w:after="0"/>
              <w:jc w:val="center"/>
            </w:pPr>
            <w:r>
              <w:rPr>
                <w:rFonts w:ascii="Times New Roman" w:eastAsia="Times New Roman" w:hAnsi="Times New Roman"/>
                <w:color w:val="000000"/>
              </w:rPr>
              <w:t>50.277533</w:t>
            </w:r>
          </w:p>
        </w:tc>
        <w:tc>
          <w:tcPr>
            <w:tcW w:w="3360" w:type="dxa"/>
            <w:tcBorders>
              <w:left w:val="single" w:sz="4" w:space="0" w:color="000080"/>
              <w:bottom w:val="single" w:sz="4" w:space="0" w:color="000080"/>
              <w:right w:val="single" w:sz="8" w:space="0" w:color="000080"/>
            </w:tcBorders>
            <w:shd w:val="clear" w:color="auto" w:fill="FFFFFF"/>
            <w:vAlign w:val="center"/>
          </w:tcPr>
          <w:p w14:paraId="3C8F7D63" w14:textId="77777777" w:rsidR="00482216" w:rsidRDefault="00482216" w:rsidP="00C96A92">
            <w:pPr>
              <w:spacing w:after="0"/>
              <w:jc w:val="center"/>
            </w:pPr>
            <w:r>
              <w:rPr>
                <w:rFonts w:ascii="Times New Roman" w:eastAsia="Times New Roman" w:hAnsi="Times New Roman"/>
                <w:color w:val="000000"/>
              </w:rPr>
              <w:t>12.574492</w:t>
            </w:r>
          </w:p>
        </w:tc>
      </w:tr>
      <w:tr w:rsidR="00482216" w14:paraId="53F60275"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4D20FFC9" w14:textId="77777777" w:rsidR="00482216" w:rsidRDefault="00482216" w:rsidP="00C96A92">
            <w:pPr>
              <w:spacing w:after="0"/>
              <w:jc w:val="center"/>
            </w:pPr>
            <w:r>
              <w:rPr>
                <w:rFonts w:ascii="Times New Roman" w:eastAsia="Times New Roman" w:hAnsi="Times New Roman"/>
                <w:color w:val="000000"/>
              </w:rPr>
              <w:t>Hřebeny</w:t>
            </w:r>
          </w:p>
        </w:tc>
        <w:tc>
          <w:tcPr>
            <w:tcW w:w="3240" w:type="dxa"/>
            <w:tcBorders>
              <w:left w:val="single" w:sz="4" w:space="0" w:color="000080"/>
              <w:bottom w:val="single" w:sz="4" w:space="0" w:color="000080"/>
            </w:tcBorders>
            <w:shd w:val="clear" w:color="auto" w:fill="FFFFFF"/>
            <w:vAlign w:val="center"/>
          </w:tcPr>
          <w:p w14:paraId="0601A84D" w14:textId="77777777" w:rsidR="00482216" w:rsidRDefault="00482216" w:rsidP="00C96A92">
            <w:pPr>
              <w:spacing w:after="0"/>
              <w:jc w:val="center"/>
            </w:pPr>
            <w:r>
              <w:rPr>
                <w:rFonts w:ascii="Times New Roman" w:eastAsia="Times New Roman" w:hAnsi="Times New Roman"/>
                <w:color w:val="000000"/>
              </w:rPr>
              <w:t>50.211514</w:t>
            </w:r>
          </w:p>
        </w:tc>
        <w:tc>
          <w:tcPr>
            <w:tcW w:w="3360" w:type="dxa"/>
            <w:tcBorders>
              <w:left w:val="single" w:sz="4" w:space="0" w:color="000080"/>
              <w:bottom w:val="single" w:sz="4" w:space="0" w:color="000080"/>
              <w:right w:val="single" w:sz="8" w:space="0" w:color="000080"/>
            </w:tcBorders>
            <w:shd w:val="clear" w:color="auto" w:fill="FFFFFF"/>
            <w:vAlign w:val="center"/>
          </w:tcPr>
          <w:p w14:paraId="08A24321" w14:textId="77777777" w:rsidR="00482216" w:rsidRDefault="00482216" w:rsidP="00C96A92">
            <w:pPr>
              <w:spacing w:after="0"/>
              <w:jc w:val="center"/>
            </w:pPr>
            <w:r>
              <w:rPr>
                <w:rFonts w:ascii="Times New Roman" w:eastAsia="Times New Roman" w:hAnsi="Times New Roman"/>
                <w:color w:val="000000"/>
              </w:rPr>
              <w:t>12.584748</w:t>
            </w:r>
          </w:p>
        </w:tc>
      </w:tr>
      <w:tr w:rsidR="00482216" w14:paraId="295E9A60"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1FC9288F" w14:textId="77777777" w:rsidR="00482216" w:rsidRDefault="00482216" w:rsidP="00C96A92">
            <w:pPr>
              <w:spacing w:after="0"/>
              <w:jc w:val="center"/>
            </w:pPr>
            <w:r>
              <w:rPr>
                <w:rFonts w:ascii="Times New Roman" w:eastAsia="Times New Roman" w:hAnsi="Times New Roman"/>
                <w:color w:val="000000"/>
              </w:rPr>
              <w:t>Kopanina</w:t>
            </w:r>
          </w:p>
        </w:tc>
        <w:tc>
          <w:tcPr>
            <w:tcW w:w="3240" w:type="dxa"/>
            <w:tcBorders>
              <w:left w:val="single" w:sz="4" w:space="0" w:color="000080"/>
              <w:bottom w:val="single" w:sz="4" w:space="0" w:color="000080"/>
            </w:tcBorders>
            <w:shd w:val="clear" w:color="auto" w:fill="FFFFFF"/>
            <w:vAlign w:val="center"/>
          </w:tcPr>
          <w:p w14:paraId="0325B891" w14:textId="77777777" w:rsidR="00482216" w:rsidRDefault="00482216" w:rsidP="00C96A92">
            <w:pPr>
              <w:spacing w:after="0"/>
              <w:jc w:val="center"/>
            </w:pPr>
            <w:r>
              <w:rPr>
                <w:rFonts w:ascii="Times New Roman" w:eastAsia="Times New Roman" w:hAnsi="Times New Roman"/>
                <w:color w:val="000000"/>
              </w:rPr>
              <w:t>50.20319</w:t>
            </w:r>
          </w:p>
        </w:tc>
        <w:tc>
          <w:tcPr>
            <w:tcW w:w="3360" w:type="dxa"/>
            <w:tcBorders>
              <w:left w:val="single" w:sz="4" w:space="0" w:color="000080"/>
              <w:bottom w:val="single" w:sz="4" w:space="0" w:color="000080"/>
              <w:right w:val="single" w:sz="8" w:space="0" w:color="000080"/>
            </w:tcBorders>
            <w:shd w:val="clear" w:color="auto" w:fill="FFFFFF"/>
            <w:vAlign w:val="center"/>
          </w:tcPr>
          <w:p w14:paraId="59263225" w14:textId="77777777" w:rsidR="00482216" w:rsidRDefault="00482216" w:rsidP="00C96A92">
            <w:pPr>
              <w:spacing w:after="0"/>
              <w:jc w:val="center"/>
            </w:pPr>
            <w:r>
              <w:rPr>
                <w:rFonts w:ascii="Times New Roman" w:eastAsia="Times New Roman" w:hAnsi="Times New Roman"/>
                <w:color w:val="000000"/>
              </w:rPr>
              <w:t>12.47473</w:t>
            </w:r>
          </w:p>
        </w:tc>
      </w:tr>
      <w:tr w:rsidR="00482216" w14:paraId="08ADF158"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2D5512B1" w14:textId="77777777" w:rsidR="00482216" w:rsidRDefault="00482216" w:rsidP="00C96A92">
            <w:pPr>
              <w:spacing w:after="0"/>
              <w:jc w:val="center"/>
            </w:pPr>
            <w:r>
              <w:rPr>
                <w:rFonts w:ascii="Times New Roman" w:eastAsia="Times New Roman" w:hAnsi="Times New Roman"/>
                <w:color w:val="000000"/>
              </w:rPr>
              <w:t>Hrádek</w:t>
            </w:r>
          </w:p>
        </w:tc>
        <w:tc>
          <w:tcPr>
            <w:tcW w:w="3240" w:type="dxa"/>
            <w:tcBorders>
              <w:left w:val="single" w:sz="4" w:space="0" w:color="000080"/>
              <w:bottom w:val="single" w:sz="4" w:space="0" w:color="000080"/>
            </w:tcBorders>
            <w:shd w:val="clear" w:color="auto" w:fill="FFFFFF"/>
            <w:vAlign w:val="center"/>
          </w:tcPr>
          <w:p w14:paraId="33BAE485" w14:textId="77777777" w:rsidR="00482216" w:rsidRDefault="00482216" w:rsidP="00C96A92">
            <w:pPr>
              <w:spacing w:after="0"/>
              <w:jc w:val="center"/>
            </w:pPr>
            <w:r>
              <w:rPr>
                <w:rFonts w:ascii="Times New Roman" w:eastAsia="Times New Roman" w:hAnsi="Times New Roman"/>
                <w:color w:val="000000"/>
              </w:rPr>
              <w:t>50.193481</w:t>
            </w:r>
          </w:p>
        </w:tc>
        <w:tc>
          <w:tcPr>
            <w:tcW w:w="3360" w:type="dxa"/>
            <w:tcBorders>
              <w:left w:val="single" w:sz="4" w:space="0" w:color="000080"/>
              <w:bottom w:val="single" w:sz="4" w:space="0" w:color="000080"/>
              <w:right w:val="single" w:sz="8" w:space="0" w:color="000080"/>
            </w:tcBorders>
            <w:shd w:val="clear" w:color="auto" w:fill="FFFFFF"/>
            <w:vAlign w:val="center"/>
          </w:tcPr>
          <w:p w14:paraId="23DDA274" w14:textId="77777777" w:rsidR="00482216" w:rsidRDefault="00482216" w:rsidP="00C96A92">
            <w:pPr>
              <w:spacing w:after="0"/>
              <w:jc w:val="center"/>
            </w:pPr>
            <w:r>
              <w:rPr>
                <w:rFonts w:ascii="Times New Roman" w:eastAsia="Times New Roman" w:hAnsi="Times New Roman"/>
                <w:color w:val="000000"/>
              </w:rPr>
              <w:t>12.5366</w:t>
            </w:r>
          </w:p>
        </w:tc>
      </w:tr>
      <w:tr w:rsidR="00482216" w14:paraId="5CF0DA2D"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14106F19" w14:textId="77777777" w:rsidR="00482216" w:rsidRDefault="00482216" w:rsidP="00C96A92">
            <w:pPr>
              <w:spacing w:after="0"/>
              <w:jc w:val="center"/>
            </w:pPr>
            <w:r>
              <w:rPr>
                <w:rFonts w:ascii="Times New Roman" w:eastAsia="Times New Roman" w:hAnsi="Times New Roman"/>
                <w:color w:val="000000"/>
              </w:rPr>
              <w:t>Polná</w:t>
            </w:r>
          </w:p>
        </w:tc>
        <w:tc>
          <w:tcPr>
            <w:tcW w:w="3240" w:type="dxa"/>
            <w:tcBorders>
              <w:left w:val="single" w:sz="4" w:space="0" w:color="000080"/>
              <w:bottom w:val="single" w:sz="4" w:space="0" w:color="000080"/>
            </w:tcBorders>
            <w:shd w:val="clear" w:color="auto" w:fill="FFFFFF"/>
            <w:vAlign w:val="center"/>
          </w:tcPr>
          <w:p w14:paraId="5582D96A" w14:textId="77777777" w:rsidR="00482216" w:rsidRDefault="00482216" w:rsidP="00C96A92">
            <w:pPr>
              <w:spacing w:after="0"/>
              <w:jc w:val="center"/>
            </w:pPr>
            <w:r>
              <w:rPr>
                <w:rFonts w:ascii="Times New Roman" w:eastAsia="Times New Roman" w:hAnsi="Times New Roman"/>
                <w:color w:val="000000"/>
              </w:rPr>
              <w:t>50.156028</w:t>
            </w:r>
          </w:p>
        </w:tc>
        <w:tc>
          <w:tcPr>
            <w:tcW w:w="3360" w:type="dxa"/>
            <w:tcBorders>
              <w:left w:val="single" w:sz="4" w:space="0" w:color="000080"/>
              <w:bottom w:val="single" w:sz="4" w:space="0" w:color="000080"/>
              <w:right w:val="single" w:sz="8" w:space="0" w:color="000080"/>
            </w:tcBorders>
            <w:shd w:val="clear" w:color="auto" w:fill="FFFFFF"/>
            <w:vAlign w:val="center"/>
          </w:tcPr>
          <w:p w14:paraId="17DB8E5A" w14:textId="77777777" w:rsidR="00482216" w:rsidRDefault="00482216" w:rsidP="00C96A92">
            <w:pPr>
              <w:spacing w:after="0"/>
              <w:jc w:val="center"/>
            </w:pPr>
            <w:r>
              <w:rPr>
                <w:rFonts w:ascii="Times New Roman" w:eastAsia="Times New Roman" w:hAnsi="Times New Roman"/>
                <w:color w:val="000000"/>
              </w:rPr>
              <w:t>12.234972</w:t>
            </w:r>
          </w:p>
        </w:tc>
      </w:tr>
      <w:tr w:rsidR="00482216" w14:paraId="45E26C24" w14:textId="77777777" w:rsidTr="00C96A92">
        <w:trPr>
          <w:trHeight w:val="315"/>
        </w:trPr>
        <w:tc>
          <w:tcPr>
            <w:tcW w:w="3240" w:type="dxa"/>
            <w:tcBorders>
              <w:left w:val="single" w:sz="8" w:space="0" w:color="000080"/>
              <w:bottom w:val="single" w:sz="4" w:space="0" w:color="000080"/>
            </w:tcBorders>
            <w:shd w:val="clear" w:color="auto" w:fill="FFFFFF"/>
            <w:vAlign w:val="center"/>
          </w:tcPr>
          <w:p w14:paraId="1EEED521" w14:textId="77777777" w:rsidR="00482216" w:rsidRDefault="00482216" w:rsidP="00C96A92">
            <w:pPr>
              <w:spacing w:after="0"/>
              <w:jc w:val="center"/>
            </w:pPr>
            <w:r>
              <w:rPr>
                <w:rFonts w:ascii="Times New Roman" w:eastAsia="Times New Roman" w:hAnsi="Times New Roman"/>
                <w:color w:val="000000"/>
              </w:rPr>
              <w:t>Komorní Hůrka</w:t>
            </w:r>
          </w:p>
        </w:tc>
        <w:tc>
          <w:tcPr>
            <w:tcW w:w="3240" w:type="dxa"/>
            <w:tcBorders>
              <w:left w:val="single" w:sz="4" w:space="0" w:color="000080"/>
              <w:bottom w:val="single" w:sz="4" w:space="0" w:color="000080"/>
            </w:tcBorders>
            <w:shd w:val="clear" w:color="auto" w:fill="FFFFFF"/>
            <w:vAlign w:val="center"/>
          </w:tcPr>
          <w:p w14:paraId="4B73123A" w14:textId="77777777" w:rsidR="00482216" w:rsidRDefault="00482216" w:rsidP="00C96A92">
            <w:pPr>
              <w:spacing w:after="0"/>
              <w:jc w:val="center"/>
            </w:pPr>
            <w:r>
              <w:rPr>
                <w:rFonts w:ascii="Times New Roman" w:eastAsia="Times New Roman" w:hAnsi="Times New Roman"/>
                <w:color w:val="000000"/>
              </w:rPr>
              <w:t>50.09997</w:t>
            </w:r>
          </w:p>
        </w:tc>
        <w:tc>
          <w:tcPr>
            <w:tcW w:w="3360" w:type="dxa"/>
            <w:tcBorders>
              <w:left w:val="single" w:sz="4" w:space="0" w:color="000080"/>
              <w:bottom w:val="single" w:sz="4" w:space="0" w:color="000080"/>
              <w:right w:val="single" w:sz="8" w:space="0" w:color="000080"/>
            </w:tcBorders>
            <w:shd w:val="clear" w:color="auto" w:fill="FFFFFF"/>
            <w:vAlign w:val="center"/>
          </w:tcPr>
          <w:p w14:paraId="188F209A" w14:textId="77777777" w:rsidR="00482216" w:rsidRDefault="00482216" w:rsidP="00C96A92">
            <w:pPr>
              <w:spacing w:after="0"/>
              <w:jc w:val="center"/>
            </w:pPr>
            <w:r>
              <w:rPr>
                <w:rFonts w:ascii="Times New Roman" w:eastAsia="Times New Roman" w:hAnsi="Times New Roman"/>
                <w:color w:val="000000"/>
              </w:rPr>
              <w:t>12.33612</w:t>
            </w:r>
          </w:p>
        </w:tc>
      </w:tr>
      <w:tr w:rsidR="00482216" w14:paraId="2ADC321E" w14:textId="77777777" w:rsidTr="00C96A92">
        <w:trPr>
          <w:trHeight w:val="330"/>
        </w:trPr>
        <w:tc>
          <w:tcPr>
            <w:tcW w:w="3240" w:type="dxa"/>
            <w:tcBorders>
              <w:left w:val="single" w:sz="8" w:space="0" w:color="000080"/>
              <w:bottom w:val="single" w:sz="8" w:space="0" w:color="000080"/>
            </w:tcBorders>
            <w:shd w:val="clear" w:color="auto" w:fill="FFFFFF"/>
            <w:vAlign w:val="center"/>
          </w:tcPr>
          <w:p w14:paraId="1A5B83C3" w14:textId="77777777" w:rsidR="00482216" w:rsidRDefault="00482216" w:rsidP="00C96A92">
            <w:pPr>
              <w:spacing w:after="0"/>
              <w:jc w:val="center"/>
            </w:pPr>
            <w:r>
              <w:rPr>
                <w:rFonts w:ascii="Times New Roman" w:eastAsia="Times New Roman" w:hAnsi="Times New Roman"/>
                <w:color w:val="000000"/>
              </w:rPr>
              <w:t>Horní Paseky</w:t>
            </w:r>
          </w:p>
        </w:tc>
        <w:tc>
          <w:tcPr>
            <w:tcW w:w="3240" w:type="dxa"/>
            <w:tcBorders>
              <w:left w:val="single" w:sz="4" w:space="0" w:color="000080"/>
              <w:bottom w:val="single" w:sz="8" w:space="0" w:color="000080"/>
            </w:tcBorders>
            <w:shd w:val="clear" w:color="auto" w:fill="FFFFFF"/>
            <w:vAlign w:val="center"/>
          </w:tcPr>
          <w:p w14:paraId="43DA8BC8" w14:textId="77777777" w:rsidR="00482216" w:rsidRDefault="00482216" w:rsidP="00C96A92">
            <w:pPr>
              <w:spacing w:after="0"/>
              <w:jc w:val="center"/>
            </w:pPr>
            <w:r>
              <w:rPr>
                <w:rFonts w:ascii="Times New Roman" w:eastAsia="Times New Roman" w:hAnsi="Times New Roman"/>
                <w:color w:val="000000"/>
              </w:rPr>
              <w:t>50.223778</w:t>
            </w:r>
          </w:p>
        </w:tc>
        <w:tc>
          <w:tcPr>
            <w:tcW w:w="3360" w:type="dxa"/>
            <w:tcBorders>
              <w:left w:val="single" w:sz="4" w:space="0" w:color="000080"/>
              <w:bottom w:val="single" w:sz="8" w:space="0" w:color="000080"/>
              <w:right w:val="single" w:sz="8" w:space="0" w:color="000080"/>
            </w:tcBorders>
            <w:shd w:val="clear" w:color="auto" w:fill="FFFFFF"/>
            <w:vAlign w:val="center"/>
          </w:tcPr>
          <w:p w14:paraId="32315D7C" w14:textId="77777777" w:rsidR="00482216" w:rsidRDefault="00482216" w:rsidP="00C96A92">
            <w:pPr>
              <w:spacing w:after="0"/>
              <w:jc w:val="center"/>
            </w:pPr>
            <w:r>
              <w:rPr>
                <w:rFonts w:ascii="Times New Roman" w:eastAsia="Times New Roman" w:hAnsi="Times New Roman"/>
                <w:color w:val="000000"/>
              </w:rPr>
              <w:t>12.265472</w:t>
            </w:r>
          </w:p>
        </w:tc>
      </w:tr>
    </w:tbl>
    <w:p w14:paraId="2A1CA7A5" w14:textId="77777777" w:rsidR="00482216" w:rsidRPr="00AD41B7" w:rsidRDefault="00482216" w:rsidP="00AB35B7">
      <w:pPr>
        <w:spacing w:after="60" w:line="276" w:lineRule="auto"/>
        <w:ind w:left="720" w:hanging="720"/>
        <w:jc w:val="both"/>
        <w:rPr>
          <w:rFonts w:asciiTheme="minorHAnsi" w:hAnsiTheme="minorHAnsi" w:cstheme="minorHAnsi"/>
          <w:sz w:val="20"/>
          <w:szCs w:val="20"/>
        </w:rPr>
      </w:pPr>
    </w:p>
    <w:p w14:paraId="60216D07" w14:textId="0A24EB95"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w:t>
      </w:r>
      <w:r w:rsidR="00325E75">
        <w:rPr>
          <w:rFonts w:asciiTheme="minorHAnsi" w:hAnsiTheme="minorHAnsi" w:cstheme="minorHAnsi"/>
          <w:b/>
          <w:sz w:val="20"/>
          <w:szCs w:val="20"/>
        </w:rPr>
        <w:t>5</w:t>
      </w:r>
      <w:r w:rsidRPr="00AD41B7">
        <w:rPr>
          <w:rFonts w:asciiTheme="minorHAnsi" w:hAnsiTheme="minorHAnsi" w:cstheme="minorHAnsi"/>
          <w:b/>
          <w:sz w:val="20"/>
          <w:szCs w:val="20"/>
        </w:rPr>
        <w:t>.</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139F13F0"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EB39AD">
        <w:rPr>
          <w:rFonts w:cs="Calibri"/>
          <w:sz w:val="20"/>
          <w:szCs w:val="20"/>
        </w:rPr>
        <w:t>,</w:t>
      </w:r>
      <w:r w:rsidRPr="00CC6A5E">
        <w:rPr>
          <w:rFonts w:cs="Calibri"/>
          <w:sz w:val="20"/>
          <w:szCs w:val="20"/>
        </w:rPr>
        <w:t xml:space="preserve"> náklady na správní poplatky, daně, cla, schvalovací řízení, provedení předepsaných zkoušek a revizí, </w:t>
      </w:r>
      <w:r w:rsidR="00A923A2">
        <w:rPr>
          <w:rFonts w:cs="Calibri"/>
          <w:sz w:val="20"/>
          <w:szCs w:val="20"/>
        </w:rPr>
        <w:t>provedení 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296335DB"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lastRenderedPageBreak/>
        <w:t>Kupní cena</w:t>
      </w:r>
      <w:r w:rsidR="008138BA">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3FAE7EC6" w:rsidR="00DA4977" w:rsidRPr="00DA4977" w:rsidRDefault="00DA4977" w:rsidP="00A923A2">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0204C7">
        <w:rPr>
          <w:rFonts w:cs="Calibri"/>
          <w:sz w:val="20"/>
          <w:szCs w:val="20"/>
        </w:rPr>
        <w:t xml:space="preserve"> </w:t>
      </w:r>
      <w:r w:rsidR="002D2A65" w:rsidRPr="002D2A65">
        <w:rPr>
          <w:rFonts w:cs="Calibri"/>
          <w:sz w:val="20"/>
          <w:szCs w:val="20"/>
        </w:rPr>
        <w:t>CZ.02.1.01/0.0/0.0/16_013/0001800</w:t>
      </w:r>
      <w:r w:rsidR="002D2A65">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0204C7" w:rsidRDefault="00F65928"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0204C7">
        <w:rPr>
          <w:rFonts w:asciiTheme="minorHAnsi" w:hAnsiTheme="minorHAnsi" w:cs="Arial"/>
          <w:i w:val="0"/>
          <w:snapToGrid w:val="0"/>
          <w:color w:val="auto"/>
          <w:sz w:val="20"/>
          <w:szCs w:val="20"/>
          <w:lang w:eastAsia="en-US"/>
        </w:rPr>
        <w:t>upujícího,</w:t>
      </w:r>
    </w:p>
    <w:p w14:paraId="246F8A5A" w14:textId="396E7FA3" w:rsidR="00F65928" w:rsidRPr="000204C7" w:rsidRDefault="00F65928"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0204C7">
        <w:rPr>
          <w:rFonts w:asciiTheme="minorHAnsi" w:hAnsiTheme="minorHAnsi" w:cs="Arial"/>
          <w:i w:val="0"/>
          <w:snapToGrid w:val="0"/>
          <w:color w:val="auto"/>
          <w:sz w:val="20"/>
          <w:szCs w:val="20"/>
          <w:lang w:eastAsia="en-US"/>
        </w:rPr>
        <w:t>upujícího,</w:t>
      </w:r>
    </w:p>
    <w:p w14:paraId="661B7682" w14:textId="7BD18375" w:rsidR="00F65928" w:rsidRPr="000204C7" w:rsidRDefault="00F81645"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0204C7">
        <w:rPr>
          <w:rFonts w:asciiTheme="minorHAnsi" w:hAnsiTheme="minorHAnsi" w:cs="Arial"/>
          <w:i w:val="0"/>
          <w:snapToGrid w:val="0"/>
          <w:color w:val="auto"/>
          <w:sz w:val="20"/>
          <w:szCs w:val="20"/>
          <w:lang w:eastAsia="en-US"/>
        </w:rPr>
        <w:t>rodávajícího</w:t>
      </w:r>
    </w:p>
    <w:p w14:paraId="469E54EF" w14:textId="68A96216" w:rsidR="00F65928" w:rsidRPr="000204C7" w:rsidRDefault="00F81645"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0204C7">
        <w:rPr>
          <w:rFonts w:asciiTheme="minorHAnsi" w:hAnsiTheme="minorHAnsi" w:cs="Arial"/>
          <w:i w:val="0"/>
          <w:snapToGrid w:val="0"/>
          <w:color w:val="auto"/>
          <w:sz w:val="20"/>
          <w:szCs w:val="20"/>
          <w:lang w:eastAsia="en-US"/>
        </w:rPr>
        <w:t>rodávají</w:t>
      </w:r>
      <w:r w:rsidR="008138BA">
        <w:rPr>
          <w:rFonts w:asciiTheme="minorHAnsi" w:hAnsiTheme="minorHAnsi" w:cs="Arial"/>
          <w:i w:val="0"/>
          <w:snapToGrid w:val="0"/>
          <w:color w:val="auto"/>
          <w:sz w:val="20"/>
          <w:szCs w:val="20"/>
          <w:lang w:eastAsia="en-US"/>
        </w:rPr>
        <w:t>cí</w:t>
      </w:r>
      <w:r w:rsidR="00B76414" w:rsidRPr="000204C7">
        <w:rPr>
          <w:rFonts w:asciiTheme="minorHAnsi" w:hAnsiTheme="minorHAnsi" w:cs="Arial"/>
          <w:i w:val="0"/>
          <w:snapToGrid w:val="0"/>
          <w:color w:val="auto"/>
          <w:sz w:val="20"/>
          <w:szCs w:val="20"/>
          <w:lang w:eastAsia="en-US"/>
        </w:rPr>
        <w:t>ho</w:t>
      </w:r>
      <w:r w:rsidR="00F65928" w:rsidRPr="000204C7">
        <w:rPr>
          <w:rFonts w:asciiTheme="minorHAnsi" w:hAnsiTheme="minorHAnsi" w:cs="Arial"/>
          <w:i w:val="0"/>
          <w:snapToGrid w:val="0"/>
          <w:color w:val="auto"/>
          <w:sz w:val="20"/>
          <w:szCs w:val="20"/>
          <w:lang w:eastAsia="en-US"/>
        </w:rPr>
        <w:t>,</w:t>
      </w:r>
    </w:p>
    <w:p w14:paraId="432D2A64" w14:textId="66B0CF19" w:rsidR="00F65928" w:rsidRPr="000204C7" w:rsidRDefault="00B76414"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Číslo daňového dokladu</w:t>
      </w:r>
      <w:r w:rsidR="00F65928" w:rsidRPr="000204C7">
        <w:rPr>
          <w:rFonts w:asciiTheme="minorHAnsi" w:hAnsiTheme="minorHAnsi" w:cs="Arial"/>
          <w:i w:val="0"/>
          <w:snapToGrid w:val="0"/>
          <w:color w:val="auto"/>
          <w:sz w:val="20"/>
          <w:szCs w:val="20"/>
          <w:lang w:eastAsia="en-US"/>
        </w:rPr>
        <w:t>,</w:t>
      </w:r>
    </w:p>
    <w:p w14:paraId="36C028CD" w14:textId="6C39C6B5" w:rsidR="00F65928" w:rsidRPr="000204C7" w:rsidRDefault="00F81645"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0204C7" w:rsidRDefault="00B76414"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0204C7" w:rsidRDefault="00B76414" w:rsidP="000204C7">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Datum zdanitelného plnění</w:t>
      </w:r>
    </w:p>
    <w:p w14:paraId="466DD974" w14:textId="18EDBC68" w:rsidR="00F65928" w:rsidRPr="000204C7" w:rsidRDefault="00B76414" w:rsidP="000204C7">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Kupní cenu bez DPH</w:t>
      </w:r>
      <w:r w:rsidR="00F65928" w:rsidRPr="000204C7">
        <w:rPr>
          <w:rFonts w:asciiTheme="minorHAnsi" w:hAnsiTheme="minorHAnsi" w:cs="Arial"/>
          <w:i w:val="0"/>
          <w:snapToGrid w:val="0"/>
          <w:color w:val="auto"/>
          <w:sz w:val="20"/>
          <w:szCs w:val="20"/>
          <w:lang w:eastAsia="en-US"/>
        </w:rPr>
        <w:t>,</w:t>
      </w:r>
      <w:r w:rsidRPr="000204C7">
        <w:rPr>
          <w:rFonts w:asciiTheme="minorHAnsi" w:hAnsiTheme="minorHAnsi" w:cs="Arial"/>
          <w:i w:val="0"/>
          <w:snapToGrid w:val="0"/>
          <w:color w:val="auto"/>
          <w:sz w:val="20"/>
          <w:szCs w:val="20"/>
          <w:lang w:eastAsia="en-US"/>
        </w:rPr>
        <w:t xml:space="preserve"> DPH, kupní cenu včetně DPH</w:t>
      </w:r>
    </w:p>
    <w:p w14:paraId="7361A451" w14:textId="6E0D3627" w:rsidR="00B76414" w:rsidRPr="000204C7" w:rsidRDefault="00B76414" w:rsidP="002D2A6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204C7">
        <w:rPr>
          <w:rFonts w:asciiTheme="minorHAnsi" w:hAnsiTheme="minorHAnsi" w:cs="Arial"/>
          <w:i w:val="0"/>
          <w:snapToGrid w:val="0"/>
          <w:color w:val="auto"/>
          <w:sz w:val="20"/>
          <w:szCs w:val="20"/>
          <w:lang w:eastAsia="en-US"/>
        </w:rPr>
        <w:t>Informaci, že předmět plnění je pořizován v rámci projektu č</w:t>
      </w:r>
      <w:r w:rsidR="002D2A65">
        <w:rPr>
          <w:rFonts w:asciiTheme="minorHAnsi" w:hAnsiTheme="minorHAnsi" w:cs="Arial"/>
          <w:i w:val="0"/>
          <w:snapToGrid w:val="0"/>
          <w:color w:val="auto"/>
          <w:sz w:val="20"/>
          <w:szCs w:val="20"/>
          <w:lang w:eastAsia="en-US"/>
        </w:rPr>
        <w:t>.</w:t>
      </w:r>
      <w:r w:rsidR="002D2A65" w:rsidRPr="002D2A65">
        <w:t xml:space="preserve"> </w:t>
      </w:r>
      <w:r w:rsidR="002D2A65" w:rsidRPr="002D2A65">
        <w:rPr>
          <w:rFonts w:asciiTheme="minorHAnsi" w:hAnsiTheme="minorHAnsi" w:cs="Arial"/>
          <w:i w:val="0"/>
          <w:snapToGrid w:val="0"/>
          <w:color w:val="auto"/>
          <w:sz w:val="20"/>
          <w:szCs w:val="20"/>
          <w:lang w:eastAsia="en-US"/>
        </w:rPr>
        <w:t>CZ.02.1.01/0.0/0.0/16_013/0001800</w:t>
      </w:r>
      <w:r w:rsidRPr="000204C7">
        <w:rPr>
          <w:rFonts w:asciiTheme="minorHAnsi" w:hAnsiTheme="minorHAnsi" w:cs="Arial"/>
          <w:i w:val="0"/>
          <w:snapToGrid w:val="0"/>
          <w:color w:val="auto"/>
          <w:sz w:val="20"/>
          <w:szCs w:val="20"/>
          <w:lang w:eastAsia="en-US"/>
        </w:rPr>
        <w:t xml:space="preserve"> Distribuovaný systém observatorních a terénních měření geofyzikálních polí.  </w:t>
      </w:r>
    </w:p>
    <w:p w14:paraId="1E998E5D" w14:textId="739BE21D" w:rsidR="00D52336" w:rsidRPr="00CC6A5E" w:rsidRDefault="00D52336" w:rsidP="000204C7">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 </w:t>
      </w:r>
      <w:r w:rsidR="008138BA">
        <w:rPr>
          <w:rFonts w:cs="Calibri"/>
          <w:sz w:val="20"/>
          <w:szCs w:val="20"/>
        </w:rPr>
        <w:t xml:space="preserve">dle </w:t>
      </w:r>
      <w:r>
        <w:rPr>
          <w:rFonts w:cs="Calibri"/>
          <w:sz w:val="20"/>
          <w:szCs w:val="20"/>
        </w:rPr>
        <w:t>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14E0CF76"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E64845">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lastRenderedPageBreak/>
        <w:t>V.</w:t>
      </w:r>
    </w:p>
    <w:p w14:paraId="48AE628F" w14:textId="77777777" w:rsidR="00D52336" w:rsidRPr="009D0566" w:rsidRDefault="00D52336" w:rsidP="00F23615">
      <w:pPr>
        <w:pStyle w:val="Nzev"/>
        <w:spacing w:before="0"/>
      </w:pPr>
      <w:r w:rsidRPr="009D0566">
        <w:t>Práva a povinnosti stran</w:t>
      </w:r>
    </w:p>
    <w:p w14:paraId="6507DF3D" w14:textId="61973FFA"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933976">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smluvní pokutu ve výši </w:t>
      </w:r>
      <w:r w:rsidR="00993C8A" w:rsidRPr="0059118A">
        <w:rPr>
          <w:rFonts w:cs="Calibri"/>
          <w:sz w:val="20"/>
          <w:szCs w:val="20"/>
        </w:rPr>
        <w:t>0,</w:t>
      </w:r>
      <w:r w:rsidR="00BB6CF7">
        <w:rPr>
          <w:rFonts w:cs="Calibri"/>
          <w:sz w:val="20"/>
          <w:szCs w:val="20"/>
        </w:rPr>
        <w:t>0</w:t>
      </w:r>
      <w:r w:rsidR="006B33FC">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06760A10" w:rsidR="002C2545" w:rsidRPr="00CC6A5E" w:rsidRDefault="00D52336" w:rsidP="000204C7">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7E936FBE" w14:textId="7932B811" w:rsidR="00E64845" w:rsidRPr="00A871DB" w:rsidRDefault="00D52336" w:rsidP="00E64845">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E64845" w:rsidRPr="00E64845">
        <w:rPr>
          <w:rFonts w:cs="Calibri"/>
          <w:sz w:val="20"/>
          <w:szCs w:val="20"/>
        </w:rPr>
        <w:t xml:space="preserve"> </w:t>
      </w:r>
      <w:r w:rsidR="00E64845">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292D00DA"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xml:space="preserve"> 000 000 Kč </w:t>
      </w:r>
      <w:r w:rsidR="0056024A">
        <w:rPr>
          <w:b/>
          <w:sz w:val="20"/>
          <w:szCs w:val="20"/>
        </w:rPr>
        <w:t xml:space="preserve">nebo jejím ekvivalentem v jiné měně </w:t>
      </w:r>
      <w:r w:rsidRPr="00F50F3E">
        <w:rPr>
          <w:b/>
          <w:sz w:val="20"/>
          <w:szCs w:val="20"/>
        </w:rPr>
        <w:t>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56024A">
        <w:rPr>
          <w:sz w:val="20"/>
          <w:szCs w:val="20"/>
        </w:rPr>
        <w:t>druhé</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lastRenderedPageBreak/>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4EFE31D5" w:rsidR="005669D1" w:rsidRPr="006C1F6D" w:rsidRDefault="00DF7324" w:rsidP="00DF7324">
      <w:pPr>
        <w:spacing w:before="240" w:after="60" w:line="276" w:lineRule="auto"/>
        <w:ind w:left="720"/>
        <w:jc w:val="both"/>
        <w:rPr>
          <w:rFonts w:cs="Calibri"/>
          <w:sz w:val="20"/>
          <w:szCs w:val="20"/>
        </w:rPr>
      </w:pPr>
      <w:bookmarkStart w:id="1"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6AAAE3B0"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415272" w:rsidRPr="000204C7">
        <w:rPr>
          <w:rFonts w:cs="Calibri"/>
          <w:sz w:val="20"/>
          <w:szCs w:val="20"/>
        </w:rPr>
        <w:t>b.ruzek@ig.cas.cz</w:t>
      </w:r>
    </w:p>
    <w:p w14:paraId="29EA4DA5" w14:textId="3FC55F78" w:rsidR="00DF7324" w:rsidRPr="00DF7324" w:rsidRDefault="00DF7324" w:rsidP="000204C7">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0204C7">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60A6A6E8"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E64845" w:rsidRPr="00402589">
        <w:rPr>
          <w:rFonts w:asciiTheme="minorHAnsi" w:hAnsiTheme="minorHAnsi" w:cstheme="minorHAnsi"/>
          <w:sz w:val="20"/>
          <w:szCs w:val="20"/>
          <w:highlight w:val="yellow"/>
        </w:rPr>
        <w:t>……</w:t>
      </w:r>
      <w:proofErr w:type="gramStart"/>
      <w:r w:rsidR="00E64845" w:rsidRPr="00402589">
        <w:rPr>
          <w:rFonts w:asciiTheme="minorHAnsi" w:hAnsiTheme="minorHAnsi" w:cstheme="minorHAnsi"/>
          <w:sz w:val="20"/>
          <w:szCs w:val="20"/>
          <w:highlight w:val="yellow"/>
        </w:rPr>
        <w:t>….</w:t>
      </w:r>
      <w:r w:rsidR="00E64845">
        <w:rPr>
          <w:rFonts w:asciiTheme="minorHAnsi" w:hAnsiTheme="minorHAnsi" w:cstheme="minorHAnsi"/>
          <w:sz w:val="20"/>
          <w:szCs w:val="20"/>
        </w:rPr>
        <w:t>.</w:t>
      </w:r>
      <w:r w:rsidR="00E64845" w:rsidRPr="00AD41B7">
        <w:rPr>
          <w:rFonts w:asciiTheme="minorHAnsi" w:hAnsiTheme="minorHAnsi" w:cstheme="minorHAnsi"/>
          <w:sz w:val="20"/>
          <w:szCs w:val="20"/>
        </w:rPr>
        <w:t>měsíců</w:t>
      </w:r>
      <w:proofErr w:type="gramEnd"/>
      <w:r w:rsidR="00E64845">
        <w:rPr>
          <w:rFonts w:asciiTheme="minorHAnsi" w:hAnsiTheme="minorHAnsi" w:cstheme="minorHAnsi"/>
          <w:sz w:val="20"/>
          <w:szCs w:val="20"/>
        </w:rPr>
        <w:t xml:space="preserve"> (</w:t>
      </w:r>
      <w:r w:rsidR="00E64845" w:rsidRPr="00AD41B7">
        <w:rPr>
          <w:rFonts w:asciiTheme="minorHAnsi" w:hAnsiTheme="minorHAnsi" w:cstheme="minorHAnsi"/>
          <w:i/>
          <w:sz w:val="20"/>
          <w:szCs w:val="20"/>
          <w:highlight w:val="yellow"/>
        </w:rPr>
        <w:t xml:space="preserve">doplní </w:t>
      </w:r>
      <w:r w:rsidR="00E64845">
        <w:rPr>
          <w:rFonts w:asciiTheme="minorHAnsi" w:hAnsiTheme="minorHAnsi" w:cstheme="minorHAnsi"/>
          <w:i/>
          <w:sz w:val="20"/>
          <w:szCs w:val="20"/>
          <w:highlight w:val="yellow"/>
        </w:rPr>
        <w:t>účastník</w:t>
      </w:r>
      <w:r w:rsidR="00E64845">
        <w:rPr>
          <w:rFonts w:asciiTheme="minorHAnsi" w:hAnsiTheme="minorHAnsi" w:cstheme="minorHAnsi"/>
          <w:sz w:val="20"/>
          <w:szCs w:val="20"/>
        </w:rPr>
        <w:t>)</w:t>
      </w:r>
      <w:r w:rsidR="00E64845"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p>
    <w:p w14:paraId="490E2A29" w14:textId="159C0B41"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8138BA">
        <w:rPr>
          <w:rFonts w:asciiTheme="minorHAnsi" w:hAnsiTheme="minorHAnsi" w:cstheme="minorHAnsi"/>
          <w:sz w:val="20"/>
          <w:szCs w:val="20"/>
        </w:rPr>
        <w:t xml:space="preserve"> od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74836B45"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0204C7">
        <w:rPr>
          <w:rFonts w:asciiTheme="minorHAnsi" w:hAnsiTheme="minorHAnsi" w:cstheme="minorHAnsi"/>
          <w:i/>
          <w:sz w:val="20"/>
          <w:szCs w:val="20"/>
          <w:highlight w:val="yellow"/>
        </w:rPr>
        <w:t>účastník</w:t>
      </w:r>
      <w:r w:rsidR="000204C7"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0204C7">
      <w:pPr>
        <w:pStyle w:val="Odstavecseseznamem"/>
        <w:spacing w:after="60" w:line="276" w:lineRule="auto"/>
        <w:ind w:left="709"/>
        <w:jc w:val="both"/>
        <w:rPr>
          <w:rFonts w:asciiTheme="minorHAnsi" w:hAnsiTheme="minorHAnsi" w:cstheme="minorHAnsi"/>
          <w:sz w:val="20"/>
          <w:szCs w:val="20"/>
        </w:rPr>
      </w:pPr>
      <w:r w:rsidRPr="000204C7">
        <w:rPr>
          <w:rFonts w:asciiTheme="minorHAnsi" w:hAnsiTheme="minorHAnsi" w:cstheme="minorHAnsi"/>
          <w:sz w:val="20"/>
          <w:szCs w:val="20"/>
        </w:rPr>
        <w:t>Kupující má právo:</w:t>
      </w:r>
    </w:p>
    <w:p w14:paraId="37D17F2F" w14:textId="6CB57D0F" w:rsidR="00F80177" w:rsidRDefault="00F80177" w:rsidP="000204C7">
      <w:pPr>
        <w:pStyle w:val="Odstavecseseznamem"/>
        <w:numPr>
          <w:ilvl w:val="0"/>
          <w:numId w:val="47"/>
        </w:numPr>
        <w:spacing w:after="60" w:line="276" w:lineRule="auto"/>
        <w:jc w:val="both"/>
        <w:rPr>
          <w:rFonts w:asciiTheme="minorHAnsi" w:hAnsiTheme="minorHAnsi" w:cstheme="minorHAnsi"/>
          <w:sz w:val="20"/>
          <w:szCs w:val="20"/>
        </w:rPr>
      </w:pPr>
      <w:r w:rsidRPr="000204C7">
        <w:rPr>
          <w:rFonts w:asciiTheme="minorHAnsi" w:hAnsiTheme="minorHAnsi" w:cstheme="minorHAnsi"/>
          <w:sz w:val="20"/>
          <w:szCs w:val="20"/>
        </w:rPr>
        <w:t>požádat o odstranění vady dodáním nového předmětu</w:t>
      </w:r>
      <w:r w:rsidR="008138BA">
        <w:rPr>
          <w:rFonts w:asciiTheme="minorHAnsi" w:hAnsiTheme="minorHAnsi" w:cstheme="minorHAnsi"/>
          <w:sz w:val="20"/>
          <w:szCs w:val="20"/>
        </w:rPr>
        <w:t xml:space="preserve"> kupní smlouvy</w:t>
      </w:r>
      <w:r w:rsidRPr="000204C7">
        <w:rPr>
          <w:rFonts w:asciiTheme="minorHAnsi" w:hAnsiTheme="minorHAnsi" w:cstheme="minorHAnsi"/>
          <w:sz w:val="20"/>
          <w:szCs w:val="20"/>
        </w:rPr>
        <w:t xml:space="preserve"> nebo jeho jednotlivých částí nebo</w:t>
      </w:r>
    </w:p>
    <w:p w14:paraId="134DDF07" w14:textId="77777777" w:rsidR="00F80177" w:rsidRPr="00F80177" w:rsidRDefault="00F80177" w:rsidP="000204C7">
      <w:pPr>
        <w:pStyle w:val="Odstavecseseznamem"/>
        <w:numPr>
          <w:ilvl w:val="0"/>
          <w:numId w:val="47"/>
        </w:numPr>
        <w:spacing w:after="60" w:line="276" w:lineRule="auto"/>
        <w:jc w:val="both"/>
        <w:rPr>
          <w:rFonts w:asciiTheme="minorHAnsi" w:hAnsiTheme="minorHAnsi" w:cstheme="minorHAnsi"/>
          <w:sz w:val="20"/>
          <w:szCs w:val="20"/>
        </w:rPr>
      </w:pPr>
      <w:r w:rsidRPr="000204C7">
        <w:rPr>
          <w:rFonts w:asciiTheme="minorHAnsi" w:hAnsiTheme="minorHAnsi" w:cstheme="minorHAnsi"/>
          <w:sz w:val="20"/>
          <w:szCs w:val="20"/>
        </w:rPr>
        <w:t>požádat o odstranění vady opravou nebo</w:t>
      </w:r>
    </w:p>
    <w:p w14:paraId="625446EC" w14:textId="651B00EA" w:rsidR="00F80177" w:rsidRDefault="00F80177" w:rsidP="000204C7">
      <w:pPr>
        <w:pStyle w:val="Odstavecseseznamem"/>
        <w:numPr>
          <w:ilvl w:val="0"/>
          <w:numId w:val="47"/>
        </w:numPr>
        <w:spacing w:after="60" w:line="276" w:lineRule="auto"/>
        <w:jc w:val="both"/>
        <w:rPr>
          <w:rFonts w:asciiTheme="minorHAnsi" w:hAnsiTheme="minorHAnsi" w:cstheme="minorHAnsi"/>
          <w:sz w:val="20"/>
          <w:szCs w:val="20"/>
        </w:rPr>
      </w:pPr>
      <w:r w:rsidRPr="000204C7">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0204C7" w:rsidRDefault="00F80177" w:rsidP="000204C7">
      <w:pPr>
        <w:spacing w:after="60" w:line="276" w:lineRule="auto"/>
        <w:ind w:left="708"/>
        <w:jc w:val="both"/>
        <w:rPr>
          <w:rFonts w:asciiTheme="minorHAnsi" w:hAnsiTheme="minorHAnsi" w:cstheme="minorHAnsi"/>
          <w:sz w:val="20"/>
          <w:szCs w:val="20"/>
        </w:rPr>
      </w:pPr>
      <w:r w:rsidRPr="000204C7">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0204C7">
        <w:rPr>
          <w:rFonts w:asciiTheme="minorHAnsi" w:hAnsiTheme="minorHAnsi" w:cstheme="minorHAnsi"/>
          <w:sz w:val="20"/>
          <w:szCs w:val="20"/>
        </w:rPr>
        <w:t xml:space="preserve"> s vadami tato smlouva podstatně porušena.</w:t>
      </w:r>
    </w:p>
    <w:p w14:paraId="55E575EE" w14:textId="3C3ED045"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3B546C">
        <w:rPr>
          <w:rFonts w:asciiTheme="minorHAnsi" w:hAnsiTheme="minorHAnsi" w:cstheme="minorHAnsi"/>
          <w:sz w:val="20"/>
          <w:szCs w:val="20"/>
        </w:rPr>
        <w:t>.</w:t>
      </w:r>
      <w:proofErr w:type="gramEnd"/>
      <w:r w:rsidR="00F45F1A">
        <w:rPr>
          <w:rFonts w:asciiTheme="minorHAnsi" w:hAnsiTheme="minorHAnsi" w:cstheme="minorHAnsi"/>
          <w:sz w:val="20"/>
          <w:szCs w:val="20"/>
        </w:rPr>
        <w:t xml:space="preserve"> </w:t>
      </w:r>
    </w:p>
    <w:p w14:paraId="61BB5BCA" w14:textId="5EDFD960" w:rsidR="00F45F1A" w:rsidRPr="0072311D" w:rsidRDefault="003B546C" w:rsidP="0072311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72311D">
        <w:rPr>
          <w:rFonts w:asciiTheme="minorHAnsi" w:hAnsiTheme="minorHAnsi" w:cstheme="minorHAnsi"/>
          <w:sz w:val="20"/>
          <w:szCs w:val="20"/>
        </w:rPr>
        <w:lastRenderedPageBreak/>
        <w:t>Prodávající je povinen odstranit závadu</w:t>
      </w:r>
      <w:r w:rsidR="0027102B" w:rsidRPr="0072311D">
        <w:rPr>
          <w:rFonts w:asciiTheme="minorHAnsi" w:hAnsiTheme="minorHAnsi" w:cstheme="minorHAnsi"/>
          <w:sz w:val="20"/>
          <w:szCs w:val="20"/>
        </w:rPr>
        <w:t xml:space="preserve"> </w:t>
      </w:r>
      <w:r w:rsidR="0063372B" w:rsidRPr="0072311D">
        <w:rPr>
          <w:rFonts w:asciiTheme="minorHAnsi" w:hAnsiTheme="minorHAnsi" w:cstheme="minorHAnsi"/>
          <w:sz w:val="20"/>
          <w:szCs w:val="20"/>
        </w:rPr>
        <w:t>do 12 hodin</w:t>
      </w:r>
      <w:r w:rsidR="00F45F1A" w:rsidRPr="0072311D">
        <w:rPr>
          <w:rFonts w:asciiTheme="minorHAnsi" w:hAnsiTheme="minorHAnsi" w:cstheme="minorHAnsi"/>
          <w:sz w:val="20"/>
          <w:szCs w:val="20"/>
        </w:rPr>
        <w:t xml:space="preserve"> </w:t>
      </w:r>
      <w:r w:rsidRPr="0072311D">
        <w:rPr>
          <w:rFonts w:asciiTheme="minorHAnsi" w:hAnsiTheme="minorHAnsi" w:cstheme="minorHAnsi"/>
          <w:sz w:val="20"/>
          <w:szCs w:val="20"/>
        </w:rPr>
        <w:t>od obdržení reklamačního oznámení nedohodnou-li se smluvní strany jinak</w:t>
      </w:r>
      <w:r w:rsidR="00EB39AD">
        <w:rPr>
          <w:rFonts w:asciiTheme="minorHAnsi" w:hAnsiTheme="minorHAnsi" w:cstheme="minorHAnsi"/>
          <w:sz w:val="20"/>
          <w:szCs w:val="20"/>
        </w:rPr>
        <w:t>.</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0204C7">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0204C7">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0204C7">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0204C7">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0204C7">
        <w:rPr>
          <w:rFonts w:asciiTheme="minorHAnsi" w:hAnsiTheme="minorHAnsi" w:cstheme="minorHAnsi"/>
          <w:sz w:val="20"/>
          <w:szCs w:val="20"/>
        </w:rPr>
        <w:t xml:space="preserve"> skutečně vynaložené náklady na odstranění vady.</w:t>
      </w:r>
    </w:p>
    <w:p w14:paraId="1BA202FF" w14:textId="1309830D"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0204C7">
        <w:rPr>
          <w:rFonts w:asciiTheme="minorHAnsi" w:hAnsiTheme="minorHAnsi" w:cstheme="minorHAnsi"/>
          <w:sz w:val="20"/>
          <w:szCs w:val="20"/>
        </w:rPr>
        <w:t xml:space="preserve">trany </w:t>
      </w:r>
      <w:r w:rsidR="008138BA">
        <w:rPr>
          <w:rFonts w:asciiTheme="minorHAnsi" w:hAnsiTheme="minorHAnsi" w:cstheme="minorHAnsi"/>
          <w:sz w:val="20"/>
          <w:szCs w:val="20"/>
        </w:rPr>
        <w:t>sepíší</w:t>
      </w:r>
      <w:r w:rsidRPr="000204C7">
        <w:rPr>
          <w:rFonts w:asciiTheme="minorHAnsi" w:hAnsiTheme="minorHAnsi" w:cstheme="minorHAnsi"/>
          <w:sz w:val="20"/>
          <w:szCs w:val="20"/>
        </w:rPr>
        <w:t xml:space="preserve"> protokol o odstranění závady, který obsahuje popis závady a potvrzení, že závada byla odstraněna. Záruční doba se prodlužuje o dobu, která uplynula mezi oznámením závady až do jejího odstranění.</w:t>
      </w:r>
    </w:p>
    <w:p w14:paraId="5F54416C" w14:textId="567C81CA" w:rsidR="004B4A44" w:rsidRPr="001F3F56" w:rsidRDefault="00F9648A" w:rsidP="004B4A44">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w:t>
      </w:r>
      <w:r w:rsidR="0027102B">
        <w:rPr>
          <w:rFonts w:asciiTheme="minorHAnsi" w:hAnsiTheme="minorHAnsi" w:cstheme="minorHAnsi"/>
          <w:sz w:val="20"/>
        </w:rPr>
        <w:t>5</w:t>
      </w:r>
      <w:r w:rsidRPr="00AD41B7">
        <w:rPr>
          <w:rFonts w:asciiTheme="minorHAnsi" w:hAnsiTheme="minorHAnsi" w:cstheme="minorHAnsi"/>
          <w:sz w:val="20"/>
        </w:rPr>
        <w:t>.</w:t>
      </w:r>
      <w:r w:rsidR="004B4A44">
        <w:rPr>
          <w:rFonts w:asciiTheme="minorHAnsi" w:hAnsiTheme="minorHAnsi" w:cstheme="minorHAnsi"/>
          <w:sz w:val="20"/>
        </w:rPr>
        <w:t xml:space="preserve"> nebo</w:t>
      </w:r>
      <w:proofErr w:type="gramEnd"/>
      <w:r w:rsidR="004B4A44">
        <w:rPr>
          <w:rFonts w:asciiTheme="minorHAnsi" w:hAnsiTheme="minorHAnsi" w:cstheme="minorHAnsi"/>
          <w:sz w:val="20"/>
        </w:rPr>
        <w:t xml:space="preserve"> odst. 6.12</w:t>
      </w:r>
      <w:r w:rsidRPr="00AD41B7">
        <w:rPr>
          <w:rFonts w:asciiTheme="minorHAnsi" w:hAnsiTheme="minorHAnsi" w:cstheme="minorHAnsi"/>
          <w:sz w:val="20"/>
        </w:rPr>
        <w:t xml:space="preserve">  tohoto článku, se prodávající zavazuje uhradit kupujícímu smluvní pokutu ve výši 5000,-Kč za každý i započatý den prodlení s nástupem k odstranění vad. Celková výše smluvní pokuty není omezena</w:t>
      </w:r>
      <w:r w:rsidR="0032727C">
        <w:rPr>
          <w:rFonts w:asciiTheme="minorHAnsi" w:hAnsiTheme="minorHAnsi" w:cstheme="minorHAnsi"/>
          <w:sz w:val="20"/>
        </w:rPr>
        <w:t>.</w:t>
      </w:r>
      <w:r w:rsidR="004B4A44" w:rsidRPr="004B4A44">
        <w:rPr>
          <w:rFonts w:asciiTheme="minorHAnsi" w:hAnsiTheme="minorHAnsi" w:cstheme="minorHAnsi"/>
          <w:sz w:val="20"/>
          <w:szCs w:val="20"/>
        </w:rPr>
        <w:t xml:space="preserve"> </w:t>
      </w:r>
      <w:r w:rsidR="004B4A44" w:rsidRPr="001F3F56">
        <w:rPr>
          <w:rFonts w:asciiTheme="minorHAnsi" w:hAnsiTheme="minorHAnsi" w:cstheme="minorHAnsi"/>
          <w:sz w:val="20"/>
          <w:szCs w:val="20"/>
        </w:rPr>
        <w:t xml:space="preserve">V případě prodlení se samotnou opravou dle odst. </w:t>
      </w:r>
      <w:proofErr w:type="gramStart"/>
      <w:r w:rsidR="004B4A44" w:rsidRPr="001F3F56">
        <w:rPr>
          <w:rFonts w:asciiTheme="minorHAnsi" w:hAnsiTheme="minorHAnsi" w:cstheme="minorHAnsi"/>
          <w:sz w:val="20"/>
          <w:szCs w:val="20"/>
        </w:rPr>
        <w:t>6.</w:t>
      </w:r>
      <w:r w:rsidR="004B4A44">
        <w:rPr>
          <w:rFonts w:asciiTheme="minorHAnsi" w:hAnsiTheme="minorHAnsi" w:cstheme="minorHAnsi"/>
          <w:sz w:val="20"/>
          <w:szCs w:val="20"/>
        </w:rPr>
        <w:t>1</w:t>
      </w:r>
      <w:r w:rsidR="004F7798">
        <w:rPr>
          <w:rFonts w:asciiTheme="minorHAnsi" w:hAnsiTheme="minorHAnsi" w:cstheme="minorHAnsi"/>
          <w:sz w:val="20"/>
          <w:szCs w:val="20"/>
        </w:rPr>
        <w:t>2</w:t>
      </w:r>
      <w:r w:rsidR="004B4A44" w:rsidRPr="001F3F56">
        <w:rPr>
          <w:rFonts w:asciiTheme="minorHAnsi" w:hAnsiTheme="minorHAnsi" w:cstheme="minorHAnsi"/>
          <w:sz w:val="20"/>
          <w:szCs w:val="20"/>
        </w:rPr>
        <w:t>. se</w:t>
      </w:r>
      <w:proofErr w:type="gramEnd"/>
      <w:r w:rsidR="004B4A44" w:rsidRPr="001F3F56">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w:t>
      </w:r>
      <w:r w:rsidR="004B4A44">
        <w:rPr>
          <w:rFonts w:asciiTheme="minorHAnsi" w:hAnsiTheme="minorHAnsi" w:cstheme="minorHAnsi"/>
          <w:sz w:val="20"/>
          <w:szCs w:val="20"/>
        </w:rPr>
        <w:t xml:space="preserve">bezúplatného zapůjčení funkčních náhradních dílů </w:t>
      </w:r>
      <w:r w:rsidR="00B04757">
        <w:rPr>
          <w:rFonts w:asciiTheme="minorHAnsi" w:hAnsiTheme="minorHAnsi" w:cstheme="minorHAnsi"/>
          <w:sz w:val="20"/>
          <w:szCs w:val="20"/>
        </w:rPr>
        <w:t>dle odst. 6.12 se prodávající nedostane do</w:t>
      </w:r>
      <w:r w:rsidR="004B4A44" w:rsidRPr="001F3F56">
        <w:rPr>
          <w:rFonts w:asciiTheme="minorHAnsi" w:hAnsiTheme="minorHAnsi" w:cstheme="minorHAnsi"/>
          <w:sz w:val="20"/>
          <w:szCs w:val="20"/>
        </w:rPr>
        <w:t xml:space="preserve"> </w:t>
      </w:r>
      <w:r w:rsidR="00B04757">
        <w:rPr>
          <w:rFonts w:asciiTheme="minorHAnsi" w:hAnsiTheme="minorHAnsi" w:cstheme="minorHAnsi"/>
          <w:sz w:val="20"/>
          <w:szCs w:val="20"/>
        </w:rPr>
        <w:t>prodlení a sankce dle věty třetí</w:t>
      </w:r>
      <w:r w:rsidR="004B4A44" w:rsidRPr="001F3F56">
        <w:rPr>
          <w:rFonts w:asciiTheme="minorHAnsi" w:hAnsiTheme="minorHAnsi" w:cstheme="minorHAnsi"/>
          <w:sz w:val="20"/>
          <w:szCs w:val="20"/>
        </w:rPr>
        <w:t xml:space="preserve"> </w:t>
      </w:r>
      <w:proofErr w:type="gramStart"/>
      <w:r w:rsidR="004B4A44" w:rsidRPr="001F3F56">
        <w:rPr>
          <w:rFonts w:asciiTheme="minorHAnsi" w:hAnsiTheme="minorHAnsi" w:cstheme="minorHAnsi"/>
          <w:sz w:val="20"/>
          <w:szCs w:val="20"/>
        </w:rPr>
        <w:t>tohoto</w:t>
      </w:r>
      <w:proofErr w:type="gramEnd"/>
      <w:r w:rsidR="004B4A44" w:rsidRPr="001F3F56">
        <w:rPr>
          <w:rFonts w:asciiTheme="minorHAnsi" w:hAnsiTheme="minorHAnsi" w:cstheme="minorHAnsi"/>
          <w:sz w:val="20"/>
          <w:szCs w:val="20"/>
        </w:rPr>
        <w:t xml:space="preserve"> odstavce, nebude uplatněna.</w:t>
      </w:r>
      <w:r w:rsidR="004B4A44" w:rsidRPr="001F3F56">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C13EC9"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w:t>
      </w:r>
      <w:r w:rsidRPr="00C13EC9">
        <w:rPr>
          <w:rFonts w:asciiTheme="minorHAnsi" w:hAnsiTheme="minorHAnsi" w:cstheme="minorHAnsi"/>
          <w:sz w:val="20"/>
          <w:szCs w:val="20"/>
        </w:rPr>
        <w:t xml:space="preserve">kupujícím. </w:t>
      </w:r>
    </w:p>
    <w:p w14:paraId="7AA98ACC" w14:textId="607F5816" w:rsidR="006C1F6D" w:rsidRPr="00C13EC9"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C13EC9">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C13EC9">
        <w:rPr>
          <w:rFonts w:asciiTheme="minorHAnsi" w:hAnsiTheme="minorHAnsi" w:cstheme="minorHAnsi"/>
          <w:sz w:val="20"/>
          <w:szCs w:val="20"/>
        </w:rPr>
        <w:t>.</w:t>
      </w:r>
      <w:r w:rsidRPr="00C13EC9">
        <w:rPr>
          <w:rFonts w:asciiTheme="minorHAnsi" w:hAnsiTheme="minorHAnsi" w:cstheme="minorHAnsi"/>
          <w:sz w:val="20"/>
          <w:szCs w:val="20"/>
        </w:rPr>
        <w:t xml:space="preserve"> </w:t>
      </w:r>
    </w:p>
    <w:p w14:paraId="0F08BB3C" w14:textId="456E0746" w:rsidR="0027102B" w:rsidRPr="007A7AFA" w:rsidRDefault="0027102B"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C13EC9">
        <w:rPr>
          <w:rFonts w:asciiTheme="minorHAnsi" w:hAnsiTheme="minorHAnsi" w:cstheme="minorHAnsi"/>
          <w:sz w:val="20"/>
          <w:szCs w:val="20"/>
        </w:rPr>
        <w:t xml:space="preserve">Prodávající </w:t>
      </w:r>
      <w:r w:rsidR="00C13EC9" w:rsidRPr="00C13EC9">
        <w:rPr>
          <w:rFonts w:asciiTheme="minorHAnsi" w:hAnsiTheme="minorHAnsi" w:cstheme="minorHAnsi"/>
          <w:sz w:val="20"/>
          <w:szCs w:val="20"/>
        </w:rPr>
        <w:t xml:space="preserve">provádí záruční servis zboží. Prodávající </w:t>
      </w:r>
      <w:r w:rsidRPr="00C13EC9">
        <w:rPr>
          <w:rFonts w:asciiTheme="minorHAnsi" w:hAnsiTheme="minorHAnsi" w:cstheme="minorHAnsi"/>
          <w:sz w:val="20"/>
          <w:szCs w:val="20"/>
        </w:rPr>
        <w:t xml:space="preserve">garantuje kupujícímu </w:t>
      </w:r>
      <w:r w:rsidR="00C13EC9" w:rsidRPr="00C13EC9">
        <w:rPr>
          <w:sz w:val="20"/>
          <w:szCs w:val="20"/>
        </w:rPr>
        <w:t>servisní pohotovost 24 hodin denně</w:t>
      </w:r>
      <w:r w:rsidR="00C13EC9">
        <w:rPr>
          <w:sz w:val="20"/>
          <w:szCs w:val="20"/>
        </w:rPr>
        <w:t xml:space="preserve"> s </w:t>
      </w:r>
      <w:r w:rsidRPr="00C13EC9">
        <w:rPr>
          <w:rFonts w:asciiTheme="minorHAnsi" w:hAnsiTheme="minorHAnsi" w:cstheme="minorHAnsi"/>
          <w:sz w:val="20"/>
          <w:szCs w:val="20"/>
        </w:rPr>
        <w:t>reakční dobu dojezdu k</w:t>
      </w:r>
      <w:r w:rsidR="006741E6" w:rsidRPr="00C13EC9">
        <w:rPr>
          <w:rFonts w:asciiTheme="minorHAnsi" w:hAnsiTheme="minorHAnsi" w:cstheme="minorHAnsi"/>
          <w:sz w:val="20"/>
          <w:szCs w:val="20"/>
        </w:rPr>
        <w:t> </w:t>
      </w:r>
      <w:r w:rsidR="00E64845" w:rsidRPr="00C13EC9">
        <w:rPr>
          <w:rFonts w:asciiTheme="minorHAnsi" w:hAnsiTheme="minorHAnsi" w:cstheme="minorHAnsi"/>
          <w:sz w:val="20"/>
          <w:szCs w:val="20"/>
        </w:rPr>
        <w:t>záruční</w:t>
      </w:r>
      <w:r w:rsidR="006741E6" w:rsidRPr="00C13EC9">
        <w:rPr>
          <w:rFonts w:asciiTheme="minorHAnsi" w:hAnsiTheme="minorHAnsi" w:cstheme="minorHAnsi"/>
          <w:sz w:val="20"/>
          <w:szCs w:val="20"/>
        </w:rPr>
        <w:t xml:space="preserve"> </w:t>
      </w:r>
      <w:r w:rsidRPr="00C13EC9">
        <w:rPr>
          <w:rFonts w:asciiTheme="minorHAnsi" w:hAnsiTheme="minorHAnsi" w:cstheme="minorHAnsi"/>
          <w:sz w:val="20"/>
          <w:szCs w:val="20"/>
        </w:rPr>
        <w:t xml:space="preserve">servisní události </w:t>
      </w:r>
      <w:r w:rsidR="00C13EC9">
        <w:rPr>
          <w:rFonts w:asciiTheme="minorHAnsi" w:hAnsiTheme="minorHAnsi" w:cstheme="minorHAnsi"/>
          <w:sz w:val="20"/>
          <w:szCs w:val="20"/>
        </w:rPr>
        <w:t>do</w:t>
      </w:r>
      <w:r w:rsidRPr="00C13EC9">
        <w:rPr>
          <w:rFonts w:asciiTheme="minorHAnsi" w:hAnsiTheme="minorHAnsi" w:cstheme="minorHAnsi"/>
          <w:sz w:val="20"/>
          <w:szCs w:val="20"/>
          <w:highlight w:val="yellow"/>
        </w:rPr>
        <w:t>…………….hodin</w:t>
      </w:r>
      <w:r w:rsidRPr="00C13EC9">
        <w:rPr>
          <w:rFonts w:asciiTheme="minorHAnsi" w:hAnsiTheme="minorHAnsi" w:cstheme="minorHAnsi"/>
          <w:sz w:val="20"/>
          <w:szCs w:val="20"/>
        </w:rPr>
        <w:t xml:space="preserve"> (</w:t>
      </w:r>
      <w:r w:rsidRPr="00C13EC9">
        <w:rPr>
          <w:rFonts w:asciiTheme="minorHAnsi" w:hAnsiTheme="minorHAnsi" w:cstheme="minorHAnsi"/>
          <w:i/>
          <w:sz w:val="20"/>
          <w:szCs w:val="20"/>
          <w:highlight w:val="yellow"/>
        </w:rPr>
        <w:t xml:space="preserve">doplní </w:t>
      </w:r>
      <w:proofErr w:type="gramStart"/>
      <w:r w:rsidR="000204C7" w:rsidRPr="00C13EC9">
        <w:rPr>
          <w:rFonts w:asciiTheme="minorHAnsi" w:hAnsiTheme="minorHAnsi" w:cstheme="minorHAnsi"/>
          <w:i/>
          <w:sz w:val="20"/>
          <w:szCs w:val="20"/>
          <w:highlight w:val="yellow"/>
        </w:rPr>
        <w:t>účastník</w:t>
      </w:r>
      <w:r w:rsidR="000204C7" w:rsidRPr="00C13EC9">
        <w:rPr>
          <w:rFonts w:asciiTheme="minorHAnsi" w:hAnsiTheme="minorHAnsi" w:cstheme="minorHAnsi"/>
          <w:sz w:val="20"/>
          <w:szCs w:val="20"/>
        </w:rPr>
        <w:t xml:space="preserve"> </w:t>
      </w:r>
      <w:r w:rsidRPr="00C13EC9">
        <w:rPr>
          <w:rFonts w:asciiTheme="minorHAnsi" w:hAnsiTheme="minorHAnsi" w:cstheme="minorHAnsi"/>
          <w:sz w:val="20"/>
          <w:szCs w:val="20"/>
        </w:rPr>
        <w:t>) a dobu</w:t>
      </w:r>
      <w:proofErr w:type="gramEnd"/>
      <w:r w:rsidRPr="00C13EC9">
        <w:rPr>
          <w:rFonts w:asciiTheme="minorHAnsi" w:hAnsiTheme="minorHAnsi" w:cstheme="minorHAnsi"/>
          <w:sz w:val="20"/>
          <w:szCs w:val="20"/>
        </w:rPr>
        <w:t xml:space="preserve"> provádění</w:t>
      </w:r>
      <w:r w:rsidR="00E64845" w:rsidRPr="00C13EC9">
        <w:rPr>
          <w:rFonts w:asciiTheme="minorHAnsi" w:hAnsiTheme="minorHAnsi" w:cstheme="minorHAnsi"/>
          <w:sz w:val="20"/>
          <w:szCs w:val="20"/>
        </w:rPr>
        <w:t xml:space="preserve"> záručního</w:t>
      </w:r>
      <w:r w:rsidRPr="00C13EC9">
        <w:rPr>
          <w:rFonts w:asciiTheme="minorHAnsi" w:hAnsiTheme="minorHAnsi" w:cstheme="minorHAnsi"/>
          <w:sz w:val="20"/>
          <w:szCs w:val="20"/>
        </w:rPr>
        <w:t xml:space="preserve"> servisu </w:t>
      </w:r>
      <w:r w:rsidRPr="00C13EC9">
        <w:rPr>
          <w:rFonts w:asciiTheme="minorHAnsi" w:hAnsiTheme="minorHAnsi" w:cstheme="minorHAnsi"/>
          <w:sz w:val="20"/>
          <w:szCs w:val="20"/>
          <w:highlight w:val="yellow"/>
        </w:rPr>
        <w:t>…………….hodin</w:t>
      </w:r>
      <w:r w:rsidRPr="00C13EC9">
        <w:rPr>
          <w:rFonts w:asciiTheme="minorHAnsi" w:hAnsiTheme="minorHAnsi" w:cstheme="minorHAnsi"/>
          <w:sz w:val="20"/>
          <w:szCs w:val="20"/>
        </w:rPr>
        <w:t xml:space="preserve"> (</w:t>
      </w:r>
      <w:r w:rsidRPr="00C13EC9">
        <w:rPr>
          <w:rFonts w:asciiTheme="minorHAnsi" w:hAnsiTheme="minorHAnsi" w:cstheme="minorHAnsi"/>
          <w:i/>
          <w:sz w:val="20"/>
          <w:szCs w:val="20"/>
          <w:highlight w:val="yellow"/>
        </w:rPr>
        <w:t>doplní</w:t>
      </w:r>
      <w:r w:rsidRPr="00AD41B7">
        <w:rPr>
          <w:rFonts w:asciiTheme="minorHAnsi" w:hAnsiTheme="minorHAnsi" w:cstheme="minorHAnsi"/>
          <w:i/>
          <w:sz w:val="20"/>
          <w:szCs w:val="20"/>
          <w:highlight w:val="yellow"/>
        </w:rPr>
        <w:t xml:space="preserve"> </w:t>
      </w:r>
      <w:r w:rsidR="000204C7">
        <w:rPr>
          <w:rFonts w:asciiTheme="minorHAnsi" w:hAnsiTheme="minorHAnsi" w:cstheme="minorHAnsi"/>
          <w:i/>
          <w:sz w:val="20"/>
          <w:szCs w:val="20"/>
          <w:highlight w:val="yellow"/>
        </w:rPr>
        <w:t>účastník</w:t>
      </w:r>
      <w:r w:rsidR="000204C7" w:rsidRPr="00AD41B7">
        <w:rPr>
          <w:rFonts w:asciiTheme="minorHAnsi" w:hAnsiTheme="minorHAnsi" w:cstheme="minorHAnsi"/>
          <w:sz w:val="20"/>
          <w:szCs w:val="20"/>
        </w:rPr>
        <w:t xml:space="preserve"> </w:t>
      </w:r>
      <w:r w:rsidR="00E75FAA">
        <w:rPr>
          <w:rFonts w:asciiTheme="minorHAnsi" w:hAnsiTheme="minorHAnsi" w:cstheme="minorHAnsi"/>
          <w:sz w:val="20"/>
          <w:szCs w:val="20"/>
        </w:rPr>
        <w:t>). V případě, že nutná doba k</w:t>
      </w:r>
      <w:r w:rsidR="00E64845">
        <w:rPr>
          <w:rFonts w:asciiTheme="minorHAnsi" w:hAnsiTheme="minorHAnsi" w:cstheme="minorHAnsi"/>
          <w:sz w:val="20"/>
          <w:szCs w:val="20"/>
        </w:rPr>
        <w:t> </w:t>
      </w:r>
      <w:r w:rsidR="00E75FAA">
        <w:rPr>
          <w:rFonts w:asciiTheme="minorHAnsi" w:hAnsiTheme="minorHAnsi" w:cstheme="minorHAnsi"/>
          <w:sz w:val="20"/>
          <w:szCs w:val="20"/>
        </w:rPr>
        <w:t>provedení</w:t>
      </w:r>
      <w:r w:rsidR="00E64845">
        <w:rPr>
          <w:rFonts w:asciiTheme="minorHAnsi" w:hAnsiTheme="minorHAnsi" w:cstheme="minorHAnsi"/>
          <w:sz w:val="20"/>
          <w:szCs w:val="20"/>
        </w:rPr>
        <w:t xml:space="preserve"> záručního</w:t>
      </w:r>
      <w:r w:rsidR="00E75FAA">
        <w:rPr>
          <w:rFonts w:asciiTheme="minorHAnsi" w:hAnsiTheme="minorHAnsi" w:cstheme="minorHAnsi"/>
          <w:sz w:val="20"/>
          <w:szCs w:val="20"/>
        </w:rPr>
        <w:t xml:space="preserve"> servisu převýší kupujícím deklarovanou dobu, prodávající </w:t>
      </w:r>
      <w:r w:rsidR="00C13EC9">
        <w:rPr>
          <w:rFonts w:asciiTheme="minorHAnsi" w:hAnsiTheme="minorHAnsi" w:cstheme="minorHAnsi"/>
          <w:sz w:val="20"/>
          <w:szCs w:val="20"/>
        </w:rPr>
        <w:t>poskyt</w:t>
      </w:r>
      <w:r w:rsidR="00E75FAA">
        <w:rPr>
          <w:rFonts w:asciiTheme="minorHAnsi" w:hAnsiTheme="minorHAnsi" w:cstheme="minorHAnsi"/>
          <w:sz w:val="20"/>
          <w:szCs w:val="20"/>
        </w:rPr>
        <w:t>ne kupujícímu bezplatn</w:t>
      </w:r>
      <w:r w:rsidR="00C13EC9">
        <w:rPr>
          <w:rFonts w:asciiTheme="minorHAnsi" w:hAnsiTheme="minorHAnsi" w:cstheme="minorHAnsi"/>
          <w:sz w:val="20"/>
          <w:szCs w:val="20"/>
        </w:rPr>
        <w:t>ě</w:t>
      </w:r>
      <w:r w:rsidR="00E75FAA">
        <w:rPr>
          <w:rFonts w:asciiTheme="minorHAnsi" w:hAnsiTheme="minorHAnsi" w:cstheme="minorHAnsi"/>
          <w:sz w:val="20"/>
          <w:szCs w:val="20"/>
        </w:rPr>
        <w:t xml:space="preserve"> náhradní</w:t>
      </w:r>
      <w:r w:rsidR="00B71AE0">
        <w:rPr>
          <w:rFonts w:asciiTheme="minorHAnsi" w:hAnsiTheme="minorHAnsi" w:cstheme="minorHAnsi"/>
          <w:sz w:val="20"/>
          <w:szCs w:val="20"/>
        </w:rPr>
        <w:t xml:space="preserve"> díl/díly nebo přístroj/</w:t>
      </w:r>
      <w:r w:rsidR="00E75FAA">
        <w:rPr>
          <w:rFonts w:asciiTheme="minorHAnsi" w:hAnsiTheme="minorHAnsi" w:cstheme="minorHAnsi"/>
          <w:sz w:val="20"/>
          <w:szCs w:val="20"/>
        </w:rPr>
        <w:t xml:space="preserve"> </w:t>
      </w:r>
      <w:r w:rsidR="00C13EC9">
        <w:rPr>
          <w:rFonts w:asciiTheme="minorHAnsi" w:hAnsiTheme="minorHAnsi" w:cstheme="minorHAnsi"/>
          <w:sz w:val="20"/>
          <w:szCs w:val="20"/>
        </w:rPr>
        <w:t>přístroje</w:t>
      </w:r>
      <w:r w:rsidR="00B71AE0">
        <w:rPr>
          <w:rFonts w:asciiTheme="minorHAnsi" w:hAnsiTheme="minorHAnsi" w:cstheme="minorHAnsi"/>
          <w:sz w:val="20"/>
          <w:szCs w:val="20"/>
        </w:rPr>
        <w:t xml:space="preserve"> tak, aby byla zajištěna provozuschopnost zboží</w:t>
      </w:r>
      <w:r w:rsidR="00C13EC9">
        <w:rPr>
          <w:rFonts w:asciiTheme="minorHAnsi" w:hAnsiTheme="minorHAnsi" w:cstheme="minorHAnsi"/>
          <w:sz w:val="20"/>
          <w:szCs w:val="20"/>
        </w:rPr>
        <w:t xml:space="preserve"> po celou dobu provádění servisního zásahu</w:t>
      </w:r>
      <w:r w:rsidR="00E75FAA">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lastRenderedPageBreak/>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2919F53A"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E64845">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1B056A72" w14:textId="13E0ED9D" w:rsidR="00372499"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4F7AD925"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E64845">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E64845">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E64845">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E64845">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E64845">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36E952DC"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E64845">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E64845" w:rsidRPr="00E64845">
        <w:rPr>
          <w:rFonts w:asciiTheme="minorHAnsi" w:hAnsiTheme="minorHAnsi" w:cstheme="minorHAnsi"/>
          <w:sz w:val="20"/>
          <w:szCs w:val="20"/>
        </w:rPr>
        <w:t xml:space="preserve"> </w:t>
      </w:r>
      <w:r w:rsidR="00E64845" w:rsidRPr="00772B44">
        <w:rPr>
          <w:rFonts w:asciiTheme="minorHAnsi" w:hAnsiTheme="minorHAnsi" w:cstheme="minorHAnsi"/>
          <w:sz w:val="20"/>
          <w:szCs w:val="20"/>
        </w:rPr>
        <w:t>Prodávající je povinen dodat kupujícímu smlouvu a všechny související dokumenty ve strojově čitelném formátu</w:t>
      </w:r>
      <w:r w:rsidR="00E64845">
        <w:rPr>
          <w:rFonts w:asciiTheme="minorHAnsi" w:hAnsiTheme="minorHAnsi" w:cstheme="minorHAnsi"/>
          <w:sz w:val="20"/>
          <w:szCs w:val="20"/>
        </w:rPr>
        <w:t>.</w:t>
      </w:r>
    </w:p>
    <w:p w14:paraId="7591534B" w14:textId="301C8369"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E64845">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12A86B5B"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0A1C9C">
        <w:rPr>
          <w:rFonts w:asciiTheme="minorHAnsi" w:hAnsiTheme="minorHAnsi" w:cstheme="minorHAnsi"/>
          <w:sz w:val="20"/>
        </w:rPr>
        <w:t>a cenová nabídka</w:t>
      </w:r>
    </w:p>
    <w:p w14:paraId="72B1DD4B" w14:textId="4E99D1DC" w:rsidR="00B3490D" w:rsidRPr="000204C7" w:rsidRDefault="001A4924" w:rsidP="000204C7">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0204C7">
        <w:rPr>
          <w:rFonts w:asciiTheme="minorHAnsi" w:hAnsiTheme="minorHAnsi" w:cstheme="minorHAnsi"/>
        </w:rPr>
        <w:t>Speciální ustanovení</w:t>
      </w:r>
    </w:p>
    <w:p w14:paraId="1B96A970" w14:textId="4ED54B84" w:rsidR="0044194A" w:rsidRDefault="00935361" w:rsidP="000204C7">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0204C7">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0204C7">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0204C7">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w:t>
      </w:r>
      <w:r w:rsidR="001A4924" w:rsidRPr="000204C7">
        <w:rPr>
          <w:rFonts w:asciiTheme="minorHAnsi" w:hAnsiTheme="minorHAnsi" w:cstheme="minorHAnsi"/>
          <w:sz w:val="20"/>
          <w:szCs w:val="20"/>
        </w:rPr>
        <w:lastRenderedPageBreak/>
        <w:t>částem nabídky, Smlouvy nebo jiným dokumentům, které se týkají právní</w:t>
      </w:r>
      <w:r w:rsidR="008138BA">
        <w:rPr>
          <w:rFonts w:asciiTheme="minorHAnsi" w:hAnsiTheme="minorHAnsi" w:cstheme="minorHAnsi"/>
          <w:sz w:val="20"/>
          <w:szCs w:val="20"/>
        </w:rPr>
        <w:t>ho</w:t>
      </w:r>
      <w:r w:rsidR="001A4924" w:rsidRPr="000204C7">
        <w:rPr>
          <w:rFonts w:asciiTheme="minorHAnsi" w:hAnsiTheme="minorHAnsi" w:cstheme="minorHAnsi"/>
          <w:sz w:val="20"/>
          <w:szCs w:val="20"/>
        </w:rPr>
        <w:t xml:space="preserve"> vztah</w:t>
      </w:r>
      <w:r w:rsidRPr="000204C7">
        <w:rPr>
          <w:rFonts w:asciiTheme="minorHAnsi" w:hAnsiTheme="minorHAnsi" w:cstheme="minorHAnsi"/>
          <w:sz w:val="20"/>
          <w:szCs w:val="20"/>
        </w:rPr>
        <w:t>u tvořeného</w:t>
      </w:r>
      <w:r w:rsidR="001A4924" w:rsidRPr="000204C7">
        <w:rPr>
          <w:rFonts w:asciiTheme="minorHAnsi" w:hAnsiTheme="minorHAnsi" w:cstheme="minorHAnsi"/>
          <w:sz w:val="20"/>
          <w:szCs w:val="20"/>
        </w:rPr>
        <w:t xml:space="preserve"> touto smlouvou. Tato povinnost se vztahuje také na dokumenty, které podléhají ochraně podle jiných zákonů (obchodní ta</w:t>
      </w:r>
      <w:r w:rsidRPr="000204C7">
        <w:rPr>
          <w:rFonts w:asciiTheme="minorHAnsi" w:hAnsiTheme="minorHAnsi" w:cstheme="minorHAnsi"/>
          <w:sz w:val="20"/>
          <w:szCs w:val="20"/>
        </w:rPr>
        <w:t>jemství, tajné informace atd.), z</w:t>
      </w:r>
      <w:r w:rsidR="001A4924" w:rsidRPr="000204C7">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2D10C92F" w14:textId="67F53041" w:rsidR="000204C7" w:rsidRDefault="000204C7" w:rsidP="000204C7">
      <w:pPr>
        <w:autoSpaceDE w:val="0"/>
        <w:autoSpaceDN w:val="0"/>
        <w:adjustRightInd w:val="0"/>
        <w:spacing w:after="60" w:line="276" w:lineRule="auto"/>
        <w:ind w:left="720" w:hanging="720"/>
        <w:jc w:val="both"/>
        <w:rPr>
          <w:rFonts w:asciiTheme="minorHAnsi" w:hAnsiTheme="minorHAnsi" w:cstheme="minorHAnsi"/>
          <w:sz w:val="20"/>
          <w:szCs w:val="20"/>
        </w:rPr>
      </w:pPr>
    </w:p>
    <w:p w14:paraId="44490AC0" w14:textId="4E0AAC57" w:rsidR="000204C7" w:rsidRPr="00935361" w:rsidRDefault="000204C7" w:rsidP="000204C7">
      <w:pPr>
        <w:autoSpaceDE w:val="0"/>
        <w:autoSpaceDN w:val="0"/>
        <w:adjustRightInd w:val="0"/>
        <w:spacing w:after="60" w:line="276" w:lineRule="auto"/>
        <w:ind w:left="720" w:hanging="720"/>
        <w:jc w:val="both"/>
        <w:rPr>
          <w:rFonts w:asciiTheme="minorHAnsi" w:hAnsiTheme="minorHAnsi" w:cstheme="minorHAnsi"/>
          <w:sz w:val="20"/>
          <w:szCs w:val="20"/>
        </w:rPr>
      </w:pPr>
      <w:r w:rsidRPr="00C060F7">
        <w:rPr>
          <w:rFonts w:asciiTheme="minorHAnsi" w:hAnsiTheme="minorHAnsi" w:cstheme="minorHAnsi"/>
          <w:b/>
          <w:sz w:val="20"/>
          <w:szCs w:val="20"/>
        </w:rPr>
        <w:t>9.2</w:t>
      </w:r>
      <w:r>
        <w:rPr>
          <w:rFonts w:asciiTheme="minorHAnsi" w:hAnsiTheme="minorHAnsi" w:cstheme="minorHAnsi"/>
          <w:sz w:val="20"/>
          <w:szCs w:val="20"/>
        </w:rPr>
        <w:tab/>
      </w:r>
      <w:r w:rsidRPr="000204C7">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Pr="000204C7">
        <w:rPr>
          <w:rFonts w:asciiTheme="minorHAnsi" w:hAnsiTheme="minorHAnsi" w:cstheme="minorHAnsi"/>
          <w:sz w:val="20"/>
          <w:szCs w:val="20"/>
        </w:rPr>
        <w:t>reg</w:t>
      </w:r>
      <w:proofErr w:type="spellEnd"/>
      <w:r w:rsidRPr="000204C7">
        <w:rPr>
          <w:rFonts w:asciiTheme="minorHAnsi" w:hAnsiTheme="minorHAnsi" w:cstheme="minorHAnsi"/>
          <w:sz w:val="20"/>
          <w:szCs w:val="20"/>
        </w:rPr>
        <w:t xml:space="preserve">. </w:t>
      </w:r>
      <w:proofErr w:type="gramStart"/>
      <w:r w:rsidRPr="000204C7">
        <w:rPr>
          <w:rFonts w:asciiTheme="minorHAnsi" w:hAnsiTheme="minorHAnsi" w:cstheme="minorHAnsi"/>
          <w:sz w:val="20"/>
          <w:szCs w:val="20"/>
        </w:rPr>
        <w:t>číslo</w:t>
      </w:r>
      <w:proofErr w:type="gramEnd"/>
      <w:r w:rsidRPr="000204C7">
        <w:rPr>
          <w:rFonts w:asciiTheme="minorHAnsi" w:hAnsiTheme="minorHAnsi" w:cstheme="minorHAnsi"/>
          <w:sz w:val="20"/>
          <w:szCs w:val="20"/>
        </w:rPr>
        <w:t xml:space="preserve">: </w:t>
      </w:r>
      <w:r w:rsidR="002D2A65" w:rsidRPr="002D2A65">
        <w:rPr>
          <w:rFonts w:asciiTheme="minorHAnsi" w:hAnsiTheme="minorHAnsi" w:cstheme="minorHAnsi"/>
          <w:sz w:val="20"/>
          <w:szCs w:val="20"/>
        </w:rPr>
        <w:t xml:space="preserve">CZ.02.1.01/0.0/0.0/16_013/0001800 </w:t>
      </w:r>
      <w:r w:rsidRPr="000204C7">
        <w:rPr>
          <w:rFonts w:asciiTheme="minorHAnsi" w:hAnsiTheme="minorHAnsi" w:cstheme="minorHAnsi"/>
          <w:sz w:val="20"/>
          <w:szCs w:val="20"/>
        </w:rPr>
        <w:t>("Projekt"),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50EA238B"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w:t>
      </w:r>
      <w:r w:rsidR="00C13EC9">
        <w:rPr>
          <w:rFonts w:asciiTheme="minorHAnsi" w:hAnsiTheme="minorHAnsi" w:cstheme="minorHAnsi"/>
          <w:sz w:val="20"/>
          <w:szCs w:val="20"/>
        </w:rPr>
        <w:t> </w:t>
      </w:r>
      <w:r w:rsidR="0072311D">
        <w:rPr>
          <w:rFonts w:asciiTheme="minorHAnsi" w:hAnsiTheme="minorHAnsi" w:cstheme="minorHAnsi"/>
          <w:sz w:val="20"/>
          <w:szCs w:val="20"/>
        </w:rPr>
        <w:t>Praze</w:t>
      </w:r>
      <w:r w:rsidR="00C13EC9">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00C13EC9">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22E85" w16cid:durableId="1F12ED68"/>
  <w16cid:commentId w16cid:paraId="110463BB" w16cid:durableId="1F12EE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9E2C" w14:textId="77777777" w:rsidR="00896D4F" w:rsidRDefault="00896D4F">
      <w:r>
        <w:separator/>
      </w:r>
    </w:p>
    <w:p w14:paraId="488EC58A" w14:textId="77777777" w:rsidR="00896D4F" w:rsidRDefault="00896D4F"/>
  </w:endnote>
  <w:endnote w:type="continuationSeparator" w:id="0">
    <w:p w14:paraId="4DA2DB38" w14:textId="77777777" w:rsidR="00896D4F" w:rsidRDefault="00896D4F">
      <w:r>
        <w:continuationSeparator/>
      </w:r>
    </w:p>
    <w:p w14:paraId="7BC0D93E" w14:textId="77777777" w:rsidR="00896D4F" w:rsidRDefault="00896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603829A2"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3812">
      <w:rPr>
        <w:rStyle w:val="slostrnky"/>
        <w:noProof/>
      </w:rPr>
      <w:t>2</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81D7" w14:textId="77777777" w:rsidR="00191010" w:rsidRDefault="001910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0AAD" w14:textId="77777777" w:rsidR="00896D4F" w:rsidRDefault="00896D4F">
      <w:r>
        <w:separator/>
      </w:r>
    </w:p>
    <w:p w14:paraId="7DD05401" w14:textId="77777777" w:rsidR="00896D4F" w:rsidRDefault="00896D4F"/>
  </w:footnote>
  <w:footnote w:type="continuationSeparator" w:id="0">
    <w:p w14:paraId="23268564" w14:textId="77777777" w:rsidR="00896D4F" w:rsidRDefault="00896D4F">
      <w:r>
        <w:continuationSeparator/>
      </w:r>
    </w:p>
    <w:p w14:paraId="17D80ED1" w14:textId="77777777" w:rsidR="00896D4F" w:rsidRDefault="00896D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87BF" w14:textId="77777777" w:rsidR="00191010" w:rsidRDefault="001910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5A3DA9C5" w:rsidR="009A5606" w:rsidRDefault="00191010" w:rsidP="000A1C9C">
    <w:pPr>
      <w:pStyle w:val="Zhlav"/>
      <w:jc w:val="center"/>
    </w:pPr>
    <w:r w:rsidRPr="00191010">
      <w:rPr>
        <w:noProof/>
      </w:rPr>
      <w:drawing>
        <wp:inline distT="0" distB="0" distL="0" distR="0" wp14:anchorId="7E5EAFF9" wp14:editId="235E6DA5">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0AA6CF20" w14:textId="77777777" w:rsidR="00DC3117" w:rsidRDefault="00DC3117" w:rsidP="000A1C9C">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3344" w14:textId="77777777" w:rsidR="00191010" w:rsidRDefault="001910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04C7"/>
    <w:rsid w:val="00023C70"/>
    <w:rsid w:val="0002552B"/>
    <w:rsid w:val="00027D94"/>
    <w:rsid w:val="000425CB"/>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1C9C"/>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F0A21"/>
    <w:rsid w:val="000F2DC3"/>
    <w:rsid w:val="000F531A"/>
    <w:rsid w:val="000F58C9"/>
    <w:rsid w:val="000F5AEF"/>
    <w:rsid w:val="000F5C41"/>
    <w:rsid w:val="00101DEF"/>
    <w:rsid w:val="001042E5"/>
    <w:rsid w:val="00110B1E"/>
    <w:rsid w:val="00111063"/>
    <w:rsid w:val="0011159D"/>
    <w:rsid w:val="001127FD"/>
    <w:rsid w:val="00115071"/>
    <w:rsid w:val="00115C19"/>
    <w:rsid w:val="001207D0"/>
    <w:rsid w:val="00120A04"/>
    <w:rsid w:val="001234E5"/>
    <w:rsid w:val="0012611E"/>
    <w:rsid w:val="00135B6D"/>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8B5"/>
    <w:rsid w:val="00167D36"/>
    <w:rsid w:val="00174591"/>
    <w:rsid w:val="00180E58"/>
    <w:rsid w:val="00185852"/>
    <w:rsid w:val="001900D9"/>
    <w:rsid w:val="00191010"/>
    <w:rsid w:val="00193623"/>
    <w:rsid w:val="001950C7"/>
    <w:rsid w:val="001A3760"/>
    <w:rsid w:val="001A4924"/>
    <w:rsid w:val="001B2100"/>
    <w:rsid w:val="001B3DF2"/>
    <w:rsid w:val="001B413A"/>
    <w:rsid w:val="001B6037"/>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4ABB"/>
    <w:rsid w:val="001F69C3"/>
    <w:rsid w:val="001F7426"/>
    <w:rsid w:val="001F771E"/>
    <w:rsid w:val="00202722"/>
    <w:rsid w:val="00211C56"/>
    <w:rsid w:val="00212B43"/>
    <w:rsid w:val="00217097"/>
    <w:rsid w:val="00223CBC"/>
    <w:rsid w:val="0023185D"/>
    <w:rsid w:val="0024111F"/>
    <w:rsid w:val="00244C08"/>
    <w:rsid w:val="00245459"/>
    <w:rsid w:val="00246E95"/>
    <w:rsid w:val="00250AB1"/>
    <w:rsid w:val="002525B9"/>
    <w:rsid w:val="00253505"/>
    <w:rsid w:val="00254DBB"/>
    <w:rsid w:val="00255F82"/>
    <w:rsid w:val="00256904"/>
    <w:rsid w:val="00260AEF"/>
    <w:rsid w:val="00261C7B"/>
    <w:rsid w:val="00264099"/>
    <w:rsid w:val="0026657A"/>
    <w:rsid w:val="0026683D"/>
    <w:rsid w:val="0027102B"/>
    <w:rsid w:val="00271C32"/>
    <w:rsid w:val="002724F1"/>
    <w:rsid w:val="00273190"/>
    <w:rsid w:val="002801A0"/>
    <w:rsid w:val="00283731"/>
    <w:rsid w:val="00284239"/>
    <w:rsid w:val="002856BB"/>
    <w:rsid w:val="002934FD"/>
    <w:rsid w:val="002A60E4"/>
    <w:rsid w:val="002A6A07"/>
    <w:rsid w:val="002A7612"/>
    <w:rsid w:val="002B08D7"/>
    <w:rsid w:val="002B4100"/>
    <w:rsid w:val="002C051C"/>
    <w:rsid w:val="002C2545"/>
    <w:rsid w:val="002D2A65"/>
    <w:rsid w:val="002D474B"/>
    <w:rsid w:val="002D5227"/>
    <w:rsid w:val="002E03BD"/>
    <w:rsid w:val="002F1670"/>
    <w:rsid w:val="002F1F17"/>
    <w:rsid w:val="002F315E"/>
    <w:rsid w:val="002F38D4"/>
    <w:rsid w:val="002F438E"/>
    <w:rsid w:val="002F4F84"/>
    <w:rsid w:val="002F6C98"/>
    <w:rsid w:val="002F6DC5"/>
    <w:rsid w:val="00301CD5"/>
    <w:rsid w:val="00301F24"/>
    <w:rsid w:val="00302934"/>
    <w:rsid w:val="00303D51"/>
    <w:rsid w:val="003127D0"/>
    <w:rsid w:val="003141E6"/>
    <w:rsid w:val="00316CE3"/>
    <w:rsid w:val="00325E75"/>
    <w:rsid w:val="003267F2"/>
    <w:rsid w:val="0032727C"/>
    <w:rsid w:val="00330969"/>
    <w:rsid w:val="00332812"/>
    <w:rsid w:val="00334E89"/>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05A4"/>
    <w:rsid w:val="003A396E"/>
    <w:rsid w:val="003A3FC4"/>
    <w:rsid w:val="003A5415"/>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6545"/>
    <w:rsid w:val="00400FED"/>
    <w:rsid w:val="00403168"/>
    <w:rsid w:val="0040484B"/>
    <w:rsid w:val="00405535"/>
    <w:rsid w:val="004075E5"/>
    <w:rsid w:val="00410039"/>
    <w:rsid w:val="00415272"/>
    <w:rsid w:val="00421728"/>
    <w:rsid w:val="004219D7"/>
    <w:rsid w:val="004229B1"/>
    <w:rsid w:val="00436206"/>
    <w:rsid w:val="0043752F"/>
    <w:rsid w:val="00440369"/>
    <w:rsid w:val="004418DD"/>
    <w:rsid w:val="0044194A"/>
    <w:rsid w:val="00441DC4"/>
    <w:rsid w:val="004425A8"/>
    <w:rsid w:val="004467C8"/>
    <w:rsid w:val="00447AC7"/>
    <w:rsid w:val="004502E4"/>
    <w:rsid w:val="00451A99"/>
    <w:rsid w:val="00462C18"/>
    <w:rsid w:val="00464F2A"/>
    <w:rsid w:val="0046728F"/>
    <w:rsid w:val="00472796"/>
    <w:rsid w:val="004731E3"/>
    <w:rsid w:val="0048158F"/>
    <w:rsid w:val="00482216"/>
    <w:rsid w:val="00482B7F"/>
    <w:rsid w:val="00484933"/>
    <w:rsid w:val="004851AB"/>
    <w:rsid w:val="00491DBF"/>
    <w:rsid w:val="0049529E"/>
    <w:rsid w:val="004A1082"/>
    <w:rsid w:val="004A2952"/>
    <w:rsid w:val="004A29E9"/>
    <w:rsid w:val="004A5501"/>
    <w:rsid w:val="004B097C"/>
    <w:rsid w:val="004B3069"/>
    <w:rsid w:val="004B4A44"/>
    <w:rsid w:val="004B4DFA"/>
    <w:rsid w:val="004B6647"/>
    <w:rsid w:val="004C02DA"/>
    <w:rsid w:val="004C63B3"/>
    <w:rsid w:val="004D47A8"/>
    <w:rsid w:val="004E1960"/>
    <w:rsid w:val="004E3FED"/>
    <w:rsid w:val="004F7798"/>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2D7"/>
    <w:rsid w:val="00546660"/>
    <w:rsid w:val="0055163C"/>
    <w:rsid w:val="00557D66"/>
    <w:rsid w:val="0056024A"/>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EE8"/>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1664B"/>
    <w:rsid w:val="0062032F"/>
    <w:rsid w:val="0062334E"/>
    <w:rsid w:val="00623929"/>
    <w:rsid w:val="00623BE6"/>
    <w:rsid w:val="006242A1"/>
    <w:rsid w:val="00630434"/>
    <w:rsid w:val="00631D5C"/>
    <w:rsid w:val="0063372B"/>
    <w:rsid w:val="006502F0"/>
    <w:rsid w:val="006526F7"/>
    <w:rsid w:val="00653EF3"/>
    <w:rsid w:val="00656570"/>
    <w:rsid w:val="00670C14"/>
    <w:rsid w:val="00670F1C"/>
    <w:rsid w:val="006741E6"/>
    <w:rsid w:val="006818CC"/>
    <w:rsid w:val="006900C4"/>
    <w:rsid w:val="00693EEC"/>
    <w:rsid w:val="0069682B"/>
    <w:rsid w:val="006A0758"/>
    <w:rsid w:val="006A0C9B"/>
    <w:rsid w:val="006A26FF"/>
    <w:rsid w:val="006A38C3"/>
    <w:rsid w:val="006A6BCA"/>
    <w:rsid w:val="006B04AC"/>
    <w:rsid w:val="006B07A9"/>
    <w:rsid w:val="006B0AB2"/>
    <w:rsid w:val="006B2123"/>
    <w:rsid w:val="006B2315"/>
    <w:rsid w:val="006B33FC"/>
    <w:rsid w:val="006C1F6D"/>
    <w:rsid w:val="006C2618"/>
    <w:rsid w:val="006D0CFF"/>
    <w:rsid w:val="006D1FB0"/>
    <w:rsid w:val="006D687F"/>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311D"/>
    <w:rsid w:val="007276DE"/>
    <w:rsid w:val="00732CB7"/>
    <w:rsid w:val="00734170"/>
    <w:rsid w:val="00734A3F"/>
    <w:rsid w:val="00745CB8"/>
    <w:rsid w:val="0074615F"/>
    <w:rsid w:val="007468A0"/>
    <w:rsid w:val="00754404"/>
    <w:rsid w:val="00756BAC"/>
    <w:rsid w:val="00772B44"/>
    <w:rsid w:val="00776E4E"/>
    <w:rsid w:val="00781228"/>
    <w:rsid w:val="0078186C"/>
    <w:rsid w:val="00782A20"/>
    <w:rsid w:val="00783364"/>
    <w:rsid w:val="00787329"/>
    <w:rsid w:val="00787D75"/>
    <w:rsid w:val="007929D9"/>
    <w:rsid w:val="007966A8"/>
    <w:rsid w:val="007A152C"/>
    <w:rsid w:val="007A2928"/>
    <w:rsid w:val="007A5384"/>
    <w:rsid w:val="007A62D0"/>
    <w:rsid w:val="007A7AFA"/>
    <w:rsid w:val="007A7E2C"/>
    <w:rsid w:val="007B5AC4"/>
    <w:rsid w:val="007C112F"/>
    <w:rsid w:val="007C12AF"/>
    <w:rsid w:val="007C6F79"/>
    <w:rsid w:val="007D062F"/>
    <w:rsid w:val="007D270A"/>
    <w:rsid w:val="007D2F6C"/>
    <w:rsid w:val="007D402A"/>
    <w:rsid w:val="007D5203"/>
    <w:rsid w:val="007D7ECA"/>
    <w:rsid w:val="007E339F"/>
    <w:rsid w:val="007E3499"/>
    <w:rsid w:val="007E7BAE"/>
    <w:rsid w:val="007F0EB6"/>
    <w:rsid w:val="007F3627"/>
    <w:rsid w:val="007F433F"/>
    <w:rsid w:val="008029AC"/>
    <w:rsid w:val="00802DDE"/>
    <w:rsid w:val="008030E7"/>
    <w:rsid w:val="00804F29"/>
    <w:rsid w:val="00806E49"/>
    <w:rsid w:val="00807B7B"/>
    <w:rsid w:val="00807EC4"/>
    <w:rsid w:val="008138BA"/>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65C75"/>
    <w:rsid w:val="008713FB"/>
    <w:rsid w:val="00873B0A"/>
    <w:rsid w:val="00874556"/>
    <w:rsid w:val="00874D7A"/>
    <w:rsid w:val="00874F74"/>
    <w:rsid w:val="008774F9"/>
    <w:rsid w:val="00882ACC"/>
    <w:rsid w:val="00882CF6"/>
    <w:rsid w:val="00885D14"/>
    <w:rsid w:val="00892E8B"/>
    <w:rsid w:val="00896D4F"/>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2D7B"/>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3976"/>
    <w:rsid w:val="00935361"/>
    <w:rsid w:val="00943DA3"/>
    <w:rsid w:val="00950EF7"/>
    <w:rsid w:val="00952ACA"/>
    <w:rsid w:val="00961A15"/>
    <w:rsid w:val="009629E0"/>
    <w:rsid w:val="0096519D"/>
    <w:rsid w:val="00967128"/>
    <w:rsid w:val="00967218"/>
    <w:rsid w:val="00971CCE"/>
    <w:rsid w:val="00974759"/>
    <w:rsid w:val="00977E85"/>
    <w:rsid w:val="00980930"/>
    <w:rsid w:val="00983249"/>
    <w:rsid w:val="00992DA6"/>
    <w:rsid w:val="00993300"/>
    <w:rsid w:val="00993C8A"/>
    <w:rsid w:val="00994DBD"/>
    <w:rsid w:val="00995D9E"/>
    <w:rsid w:val="009A54E6"/>
    <w:rsid w:val="009A5606"/>
    <w:rsid w:val="009B36E3"/>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4EA3"/>
    <w:rsid w:val="00A65A3F"/>
    <w:rsid w:val="00A673A7"/>
    <w:rsid w:val="00A74583"/>
    <w:rsid w:val="00A755FE"/>
    <w:rsid w:val="00A756C7"/>
    <w:rsid w:val="00A82171"/>
    <w:rsid w:val="00A84FC8"/>
    <w:rsid w:val="00A850C8"/>
    <w:rsid w:val="00A85B3E"/>
    <w:rsid w:val="00A871DB"/>
    <w:rsid w:val="00A87345"/>
    <w:rsid w:val="00A92039"/>
    <w:rsid w:val="00A923A2"/>
    <w:rsid w:val="00AA7F0D"/>
    <w:rsid w:val="00AB35B7"/>
    <w:rsid w:val="00AB35C8"/>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4757"/>
    <w:rsid w:val="00B0533E"/>
    <w:rsid w:val="00B055F4"/>
    <w:rsid w:val="00B05984"/>
    <w:rsid w:val="00B07151"/>
    <w:rsid w:val="00B12229"/>
    <w:rsid w:val="00B16F8A"/>
    <w:rsid w:val="00B20714"/>
    <w:rsid w:val="00B22F06"/>
    <w:rsid w:val="00B260CD"/>
    <w:rsid w:val="00B31BF6"/>
    <w:rsid w:val="00B321F2"/>
    <w:rsid w:val="00B3490D"/>
    <w:rsid w:val="00B34C7F"/>
    <w:rsid w:val="00B36717"/>
    <w:rsid w:val="00B47362"/>
    <w:rsid w:val="00B52A6C"/>
    <w:rsid w:val="00B53431"/>
    <w:rsid w:val="00B574E2"/>
    <w:rsid w:val="00B61496"/>
    <w:rsid w:val="00B642A4"/>
    <w:rsid w:val="00B64933"/>
    <w:rsid w:val="00B653A6"/>
    <w:rsid w:val="00B65408"/>
    <w:rsid w:val="00B71AE0"/>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70E"/>
    <w:rsid w:val="00BC1EF9"/>
    <w:rsid w:val="00BC1FE4"/>
    <w:rsid w:val="00BC3612"/>
    <w:rsid w:val="00BC4B47"/>
    <w:rsid w:val="00BC52E3"/>
    <w:rsid w:val="00BD2127"/>
    <w:rsid w:val="00BD4F33"/>
    <w:rsid w:val="00BD67BF"/>
    <w:rsid w:val="00BE6A8F"/>
    <w:rsid w:val="00BF1464"/>
    <w:rsid w:val="00BF1764"/>
    <w:rsid w:val="00BF34A7"/>
    <w:rsid w:val="00BF4854"/>
    <w:rsid w:val="00C00DBB"/>
    <w:rsid w:val="00C04AFC"/>
    <w:rsid w:val="00C060F7"/>
    <w:rsid w:val="00C06841"/>
    <w:rsid w:val="00C11C88"/>
    <w:rsid w:val="00C13EC9"/>
    <w:rsid w:val="00C2119C"/>
    <w:rsid w:val="00C21300"/>
    <w:rsid w:val="00C25C4D"/>
    <w:rsid w:val="00C33EFD"/>
    <w:rsid w:val="00C343F1"/>
    <w:rsid w:val="00C35155"/>
    <w:rsid w:val="00C373C4"/>
    <w:rsid w:val="00C3798D"/>
    <w:rsid w:val="00C410A1"/>
    <w:rsid w:val="00C420F0"/>
    <w:rsid w:val="00C428BE"/>
    <w:rsid w:val="00C44069"/>
    <w:rsid w:val="00C527CB"/>
    <w:rsid w:val="00C547D8"/>
    <w:rsid w:val="00C54C00"/>
    <w:rsid w:val="00C57B3D"/>
    <w:rsid w:val="00C63D70"/>
    <w:rsid w:val="00C64E92"/>
    <w:rsid w:val="00C64FF1"/>
    <w:rsid w:val="00C75724"/>
    <w:rsid w:val="00C758EB"/>
    <w:rsid w:val="00C83A42"/>
    <w:rsid w:val="00C86E67"/>
    <w:rsid w:val="00C907A8"/>
    <w:rsid w:val="00C90AB0"/>
    <w:rsid w:val="00C94482"/>
    <w:rsid w:val="00C946BF"/>
    <w:rsid w:val="00CA0219"/>
    <w:rsid w:val="00CA04D7"/>
    <w:rsid w:val="00CA3F43"/>
    <w:rsid w:val="00CA5AEB"/>
    <w:rsid w:val="00CB0B19"/>
    <w:rsid w:val="00CB5347"/>
    <w:rsid w:val="00CB55B3"/>
    <w:rsid w:val="00CB5B3A"/>
    <w:rsid w:val="00CB70C0"/>
    <w:rsid w:val="00CB7965"/>
    <w:rsid w:val="00CC003F"/>
    <w:rsid w:val="00CC3E7F"/>
    <w:rsid w:val="00CC5B88"/>
    <w:rsid w:val="00CC6A5E"/>
    <w:rsid w:val="00CD139B"/>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3635"/>
    <w:rsid w:val="00D743C3"/>
    <w:rsid w:val="00D76147"/>
    <w:rsid w:val="00D7630B"/>
    <w:rsid w:val="00D76538"/>
    <w:rsid w:val="00D773B7"/>
    <w:rsid w:val="00D77936"/>
    <w:rsid w:val="00D83DF3"/>
    <w:rsid w:val="00D85A12"/>
    <w:rsid w:val="00D8618F"/>
    <w:rsid w:val="00D863ED"/>
    <w:rsid w:val="00D9184C"/>
    <w:rsid w:val="00D9613E"/>
    <w:rsid w:val="00DA4977"/>
    <w:rsid w:val="00DA4F7E"/>
    <w:rsid w:val="00DB271A"/>
    <w:rsid w:val="00DB331B"/>
    <w:rsid w:val="00DB4146"/>
    <w:rsid w:val="00DB6EF1"/>
    <w:rsid w:val="00DC080D"/>
    <w:rsid w:val="00DC3117"/>
    <w:rsid w:val="00DC45B7"/>
    <w:rsid w:val="00DC53D9"/>
    <w:rsid w:val="00DC5865"/>
    <w:rsid w:val="00DC5F6A"/>
    <w:rsid w:val="00DD0813"/>
    <w:rsid w:val="00DD0FCA"/>
    <w:rsid w:val="00DD17F5"/>
    <w:rsid w:val="00DD19B2"/>
    <w:rsid w:val="00DD1A07"/>
    <w:rsid w:val="00DD1D6B"/>
    <w:rsid w:val="00DD21B2"/>
    <w:rsid w:val="00DD476C"/>
    <w:rsid w:val="00DE1A36"/>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4845"/>
    <w:rsid w:val="00E665DF"/>
    <w:rsid w:val="00E673DD"/>
    <w:rsid w:val="00E709D3"/>
    <w:rsid w:val="00E75FAA"/>
    <w:rsid w:val="00E8020F"/>
    <w:rsid w:val="00E82321"/>
    <w:rsid w:val="00E8422F"/>
    <w:rsid w:val="00E85027"/>
    <w:rsid w:val="00E8780E"/>
    <w:rsid w:val="00E96CD0"/>
    <w:rsid w:val="00E976E1"/>
    <w:rsid w:val="00EA18EA"/>
    <w:rsid w:val="00EA5505"/>
    <w:rsid w:val="00EA7A9F"/>
    <w:rsid w:val="00EB049B"/>
    <w:rsid w:val="00EB39AD"/>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51EB"/>
    <w:rsid w:val="00EF61EF"/>
    <w:rsid w:val="00F0420B"/>
    <w:rsid w:val="00F20CE1"/>
    <w:rsid w:val="00F21982"/>
    <w:rsid w:val="00F23615"/>
    <w:rsid w:val="00F24F6D"/>
    <w:rsid w:val="00F27085"/>
    <w:rsid w:val="00F329F3"/>
    <w:rsid w:val="00F33EA0"/>
    <w:rsid w:val="00F34755"/>
    <w:rsid w:val="00F40CB0"/>
    <w:rsid w:val="00F41C62"/>
    <w:rsid w:val="00F43C7F"/>
    <w:rsid w:val="00F4585A"/>
    <w:rsid w:val="00F45F1A"/>
    <w:rsid w:val="00F468FD"/>
    <w:rsid w:val="00F50CD6"/>
    <w:rsid w:val="00F50D63"/>
    <w:rsid w:val="00F50F3E"/>
    <w:rsid w:val="00F544AD"/>
    <w:rsid w:val="00F568A9"/>
    <w:rsid w:val="00F60EA2"/>
    <w:rsid w:val="00F65928"/>
    <w:rsid w:val="00F755DC"/>
    <w:rsid w:val="00F77E02"/>
    <w:rsid w:val="00F80177"/>
    <w:rsid w:val="00F810A9"/>
    <w:rsid w:val="00F81645"/>
    <w:rsid w:val="00F847B3"/>
    <w:rsid w:val="00F8490A"/>
    <w:rsid w:val="00F861CD"/>
    <w:rsid w:val="00F93812"/>
    <w:rsid w:val="00F9452D"/>
    <w:rsid w:val="00F946AD"/>
    <w:rsid w:val="00F9648A"/>
    <w:rsid w:val="00FA53C3"/>
    <w:rsid w:val="00FA7B4D"/>
    <w:rsid w:val="00FB3AA7"/>
    <w:rsid w:val="00FB50CE"/>
    <w:rsid w:val="00FB61FC"/>
    <w:rsid w:val="00FB65A3"/>
    <w:rsid w:val="00FB71E2"/>
    <w:rsid w:val="00FC191B"/>
    <w:rsid w:val="00FC1CA2"/>
    <w:rsid w:val="00FC7F0F"/>
    <w:rsid w:val="00FD0FEF"/>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 w:type="paragraph" w:styleId="Revize">
    <w:name w:val="Revision"/>
    <w:hidden/>
    <w:uiPriority w:val="99"/>
    <w:semiHidden/>
    <w:rsid w:val="001F69C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AB2D-11CB-48F1-AFB1-59CE146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17665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4</cp:revision>
  <cp:lastPrinted>2018-01-29T10:31:00Z</cp:lastPrinted>
  <dcterms:created xsi:type="dcterms:W3CDTF">2018-08-07T14:22:00Z</dcterms:created>
  <dcterms:modified xsi:type="dcterms:W3CDTF">2018-08-08T13:09:00Z</dcterms:modified>
</cp:coreProperties>
</file>